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D519498"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37309D">
        <w:rPr>
          <w:noProof w:val="0"/>
          <w:sz w:val="24"/>
          <w:szCs w:val="24"/>
        </w:rPr>
        <w:t>4</w:t>
      </w:r>
      <w:r>
        <w:tab/>
      </w:r>
      <w:r w:rsidR="007600B2" w:rsidRPr="007600B2">
        <w:rPr>
          <w:noProof w:val="0"/>
          <w:sz w:val="24"/>
          <w:szCs w:val="24"/>
        </w:rPr>
        <w:t>R2-2313199</w:t>
      </w:r>
    </w:p>
    <w:p w14:paraId="11776FA6" w14:textId="728496BC" w:rsidR="00A209D6" w:rsidRPr="00465587" w:rsidRDefault="00F962EF" w:rsidP="00A209D6">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1068BB7" w:rsidR="00446C3A" w:rsidRPr="00B266B0" w:rsidRDefault="00446C3A" w:rsidP="00446C3A">
      <w:pPr>
        <w:pStyle w:val="CRCoverPage"/>
        <w:tabs>
          <w:tab w:val="left" w:pos="1985"/>
        </w:tabs>
        <w:rPr>
          <w:rFonts w:cs="Arial"/>
          <w:b/>
          <w:bCs/>
          <w:sz w:val="24"/>
          <w:lang w:eastAsia="ja-JP"/>
        </w:rPr>
      </w:pPr>
      <w:r w:rsidRPr="00C4515D">
        <w:rPr>
          <w:rFonts w:cs="Arial"/>
          <w:b/>
          <w:bCs/>
          <w:sz w:val="24"/>
        </w:rPr>
        <w:t>Agenda item:</w:t>
      </w:r>
      <w:r w:rsidRPr="00C4515D">
        <w:rPr>
          <w:rFonts w:cs="Arial"/>
          <w:b/>
          <w:bCs/>
          <w:sz w:val="24"/>
        </w:rPr>
        <w:tab/>
      </w:r>
      <w:r w:rsidR="00BF467D" w:rsidRPr="00C4515D">
        <w:rPr>
          <w:rFonts w:cs="Arial"/>
          <w:b/>
          <w:bCs/>
          <w:sz w:val="24"/>
          <w:lang w:eastAsia="ja-JP"/>
        </w:rPr>
        <w:t>7</w:t>
      </w:r>
      <w:r w:rsidRPr="00C4515D">
        <w:rPr>
          <w:rFonts w:cs="Arial"/>
          <w:b/>
          <w:bCs/>
          <w:sz w:val="24"/>
          <w:lang w:eastAsia="ja-JP"/>
        </w:rPr>
        <w:t>.</w:t>
      </w:r>
      <w:r w:rsidR="00BF467D" w:rsidRPr="00C4515D">
        <w:rPr>
          <w:rFonts w:cs="Arial"/>
          <w:b/>
          <w:bCs/>
          <w:sz w:val="24"/>
          <w:lang w:eastAsia="ja-JP"/>
        </w:rPr>
        <w:t>12</w:t>
      </w:r>
      <w:r w:rsidRPr="00C4515D">
        <w:rPr>
          <w:rFonts w:cs="Arial"/>
          <w:b/>
          <w:bCs/>
          <w:sz w:val="24"/>
          <w:lang w:eastAsia="ja-JP"/>
        </w:rPr>
        <w:t>.</w:t>
      </w:r>
      <w:r w:rsidR="00BF467D" w:rsidRPr="00C4515D">
        <w:rPr>
          <w:rFonts w:cs="Arial"/>
          <w:b/>
          <w:bCs/>
          <w:sz w:val="24"/>
          <w:lang w:eastAsia="ja-JP"/>
        </w:rPr>
        <w:t>2.</w:t>
      </w:r>
      <w:r w:rsidR="000F7880">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21FCC3E"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00B26848" w:rsidRPr="00B26848">
        <w:rPr>
          <w:rFonts w:ascii="Arial" w:hAnsi="Arial" w:cs="Arial"/>
          <w:b/>
          <w:bCs/>
          <w:sz w:val="24"/>
          <w:szCs w:val="24"/>
        </w:rPr>
        <w:t>Cell reselection issues for UEs in mobile IAB</w:t>
      </w:r>
      <w:r w:rsidR="00B26848">
        <w:rPr>
          <w:rFonts w:ascii="Arial" w:hAnsi="Arial" w:cs="Arial"/>
          <w:b/>
          <w:bCs/>
          <w:sz w:val="24"/>
          <w:szCs w:val="24"/>
        </w:rPr>
        <w:t xml:space="preserve"> scenarios</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F467D" w:rsidRPr="00541CA4">
        <w:rPr>
          <w:rFonts w:ascii="Arial" w:hAnsi="Arial" w:cs="Arial"/>
          <w:b/>
          <w:bCs/>
          <w:sz w:val="24"/>
        </w:rPr>
        <w:t>NR_mobile_IAB-Core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216DD1" w14:textId="36AA2ED3" w:rsidR="00BF467D" w:rsidRDefault="00BF467D" w:rsidP="00BF467D">
      <w:r>
        <w:t xml:space="preserve">In </w:t>
      </w:r>
      <w:r w:rsidRPr="00577C27">
        <w:t>RAN2</w:t>
      </w:r>
      <w:r>
        <w:t>#12</w:t>
      </w:r>
      <w:r w:rsidR="00482134">
        <w:t>3</w:t>
      </w:r>
      <w:r>
        <w:t xml:space="preserve">, </w:t>
      </w:r>
      <w:r w:rsidR="002807C4">
        <w:t>the following agreements were reached for cell reselection behaviour for</w:t>
      </w:r>
      <w:r>
        <w:t xml:space="preserve"> UEs in </w:t>
      </w:r>
      <w:r w:rsidR="002807C4">
        <w:t>mobile IAB scenarios</w:t>
      </w:r>
      <w:r>
        <w:t>:</w:t>
      </w:r>
    </w:p>
    <w:p w14:paraId="55421377" w14:textId="77777777" w:rsidR="00390D93"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2F18FEC" w14:textId="77777777" w:rsidR="00390D93"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No enhancement is needed for intra-frequency and equal-priority cell reselection. </w:t>
      </w:r>
    </w:p>
    <w:p w14:paraId="682B4CD0" w14:textId="77777777" w:rsidR="00390D93" w:rsidRPr="00CD11E2"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p w14:paraId="277E9D5B" w14:textId="403E20A9" w:rsidR="00BF467D" w:rsidRPr="00BF467D" w:rsidRDefault="00390D93" w:rsidP="00390D93">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Arial" w:hAnsi="Arial" w:cs="Arial"/>
          <w:b/>
          <w:bCs/>
        </w:rPr>
      </w:pPr>
      <w:r w:rsidRPr="00482134">
        <w:rPr>
          <w:rFonts w:ascii="Arial" w:eastAsia="MS Mincho" w:hAnsi="Arial"/>
          <w:b/>
          <w:szCs w:val="24"/>
          <w:lang w:eastAsia="en-GB"/>
        </w:rPr>
        <w:t>It is left to UE implementation to determine whether the UE is physically on a moving vehicle and when it applies mobile IAB cell reselection prioritization for agreed scenario</w:t>
      </w:r>
      <w:r w:rsidR="00482134">
        <w:rPr>
          <w:rFonts w:ascii="Arial" w:eastAsia="MS Mincho" w:hAnsi="Arial"/>
          <w:b/>
          <w:szCs w:val="24"/>
          <w:lang w:eastAsia="en-GB"/>
        </w:rPr>
        <w:t>s.</w:t>
      </w:r>
    </w:p>
    <w:p w14:paraId="01A0AC8C" w14:textId="77777777" w:rsidR="00282E06" w:rsidRDefault="00282E06" w:rsidP="00282E06">
      <w:pPr>
        <w:spacing w:after="0"/>
      </w:pPr>
    </w:p>
    <w:p w14:paraId="7D587DFA" w14:textId="4250D454" w:rsidR="00B67755" w:rsidRDefault="00543392" w:rsidP="00264BCE">
      <w:r>
        <w:rPr>
          <w:noProof/>
        </w:rPr>
        <mc:AlternateContent>
          <mc:Choice Requires="wps">
            <w:drawing>
              <wp:anchor distT="45720" distB="45720" distL="114300" distR="114300" simplePos="0" relativeHeight="251659264" behindDoc="0" locked="0" layoutInCell="1" allowOverlap="1" wp14:anchorId="16E5598A" wp14:editId="1E78DE4B">
                <wp:simplePos x="0" y="0"/>
                <wp:positionH relativeFrom="column">
                  <wp:posOffset>130810</wp:posOffset>
                </wp:positionH>
                <wp:positionV relativeFrom="paragraph">
                  <wp:posOffset>269240</wp:posOffset>
                </wp:positionV>
                <wp:extent cx="6042025" cy="1404620"/>
                <wp:effectExtent l="0" t="0" r="1587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404620"/>
                        </a:xfrm>
                        <a:prstGeom prst="rect">
                          <a:avLst/>
                        </a:prstGeom>
                        <a:solidFill>
                          <a:srgbClr val="FFFFFF"/>
                        </a:solidFill>
                        <a:ln w="9525">
                          <a:solidFill>
                            <a:srgbClr val="000000"/>
                          </a:solidFill>
                          <a:miter lim="800000"/>
                          <a:headEnd/>
                          <a:tailEnd/>
                        </a:ln>
                      </wps:spPr>
                      <wps:txbx>
                        <w:txbxContent>
                          <w:p w14:paraId="35C63406" w14:textId="3B695B7D" w:rsidR="00543392" w:rsidRPr="00AD74F7" w:rsidRDefault="00543392" w:rsidP="00543392">
                            <w:pPr>
                              <w:pStyle w:val="Agreement"/>
                              <w:numPr>
                                <w:ilvl w:val="0"/>
                                <w:numId w:val="8"/>
                              </w:numPr>
                              <w:tabs>
                                <w:tab w:val="clear" w:pos="720"/>
                                <w:tab w:val="num" w:pos="360"/>
                                <w:tab w:val="num" w:pos="928"/>
                              </w:tabs>
                              <w:ind w:left="360"/>
                              <w:rPr>
                                <w:rFonts w:eastAsia="Malgun Gothic"/>
                              </w:rPr>
                            </w:pPr>
                            <w:r>
                              <w:t xml:space="preserve">P1: </w:t>
                            </w:r>
                            <w:proofErr w:type="spellStart"/>
                            <w:r>
                              <w:t>mIAB</w:t>
                            </w:r>
                            <w:proofErr w:type="spellEnd"/>
                            <w:r>
                              <w:t xml:space="preserve"> PCI list is optional present (i.e., not mandatory) for indicated </w:t>
                            </w:r>
                            <w:proofErr w:type="spellStart"/>
                            <w:r>
                              <w:t>mIAB</w:t>
                            </w:r>
                            <w:proofErr w:type="spellEnd"/>
                            <w:r>
                              <w:t xml:space="preserve"> frequency (confirming that </w:t>
                            </w:r>
                            <w:proofErr w:type="spellStart"/>
                            <w:r>
                              <w:t>mIAB</w:t>
                            </w:r>
                            <w:proofErr w:type="spellEnd"/>
                            <w:r>
                              <w:t xml:space="preserve"> PCI list is introduced)</w:t>
                            </w:r>
                          </w:p>
                          <w:p w14:paraId="0FC699FB" w14:textId="77777777" w:rsidR="00543392" w:rsidRDefault="00543392" w:rsidP="00543392">
                            <w:pPr>
                              <w:pStyle w:val="Agreement"/>
                              <w:numPr>
                                <w:ilvl w:val="0"/>
                                <w:numId w:val="8"/>
                              </w:numPr>
                              <w:tabs>
                                <w:tab w:val="clear" w:pos="720"/>
                                <w:tab w:val="num" w:pos="360"/>
                                <w:tab w:val="num" w:pos="928"/>
                              </w:tabs>
                              <w:ind w:left="360"/>
                            </w:pPr>
                            <w:r>
                              <w:t xml:space="preserve">P7: it is left to UE implementation to determine an actual prioritized frequency among frequencies that can be prioritized for </w:t>
                            </w:r>
                            <w:proofErr w:type="spellStart"/>
                            <w:r>
                              <w:t>mIAB</w:t>
                            </w:r>
                            <w:proofErr w:type="spellEnd"/>
                            <w:r>
                              <w:t xml:space="preserve"> cell/HSDN/MBS/SL/V2X?</w:t>
                            </w:r>
                          </w:p>
                          <w:p w14:paraId="510DF6D1" w14:textId="77777777" w:rsidR="00543392" w:rsidRDefault="00543392" w:rsidP="00543392">
                            <w:pPr>
                              <w:pStyle w:val="Agreement"/>
                              <w:numPr>
                                <w:ilvl w:val="0"/>
                                <w:numId w:val="8"/>
                              </w:numPr>
                              <w:tabs>
                                <w:tab w:val="clear" w:pos="720"/>
                                <w:tab w:val="num" w:pos="360"/>
                                <w:tab w:val="num" w:pos="928"/>
                              </w:tabs>
                              <w:ind w:left="360"/>
                            </w:pPr>
                            <w:r>
                              <w:t xml:space="preserve">P8: Existing Note 0c in TS 38.304 is applicable for the prioritization between </w:t>
                            </w:r>
                            <w:proofErr w:type="spellStart"/>
                            <w:r>
                              <w:t>mIAB</w:t>
                            </w:r>
                            <w:proofErr w:type="spellEnd"/>
                            <w:r>
                              <w:t xml:space="preserve"> cell/HSDN/MBS/SL/V2X. So, </w:t>
                            </w:r>
                            <w:proofErr w:type="gramStart"/>
                            <w:r>
                              <w:t>no</w:t>
                            </w:r>
                            <w:proofErr w:type="gramEnd"/>
                            <w:r>
                              <w:t xml:space="preserve"> or marginal additional specification work is needed. </w:t>
                            </w:r>
                          </w:p>
                          <w:p w14:paraId="1FC29874" w14:textId="77777777" w:rsidR="00543392" w:rsidRDefault="00543392" w:rsidP="00543392">
                            <w:pPr>
                              <w:pStyle w:val="Agreement"/>
                              <w:numPr>
                                <w:ilvl w:val="0"/>
                                <w:numId w:val="8"/>
                              </w:numPr>
                              <w:tabs>
                                <w:tab w:val="clear" w:pos="720"/>
                                <w:tab w:val="num" w:pos="360"/>
                                <w:tab w:val="num" w:pos="928"/>
                              </w:tabs>
                              <w:ind w:left="360"/>
                            </w:pPr>
                            <w:r>
                              <w:t xml:space="preserve">FFS: </w:t>
                            </w:r>
                          </w:p>
                          <w:p w14:paraId="075F5C88" w14:textId="74292AED" w:rsidR="00543392" w:rsidRPr="00C01452" w:rsidRDefault="00543392" w:rsidP="00543392">
                            <w:pPr>
                              <w:pStyle w:val="Agreement"/>
                              <w:numPr>
                                <w:ilvl w:val="0"/>
                                <w:numId w:val="0"/>
                              </w:numPr>
                              <w:ind w:left="360"/>
                            </w:pPr>
                            <w:r w:rsidRPr="00CA0D04">
                              <w:t>P2</w:t>
                            </w:r>
                            <w:r w:rsidRPr="00C01452">
                              <w:t xml:space="preserve">: To discuss further if </w:t>
                            </w:r>
                            <w:proofErr w:type="spellStart"/>
                            <w:r w:rsidRPr="00C01452">
                              <w:t>mIAB</w:t>
                            </w:r>
                            <w:proofErr w:type="spellEnd"/>
                            <w:r w:rsidRPr="00C01452">
                              <w:t xml:space="preserve"> PCI list is not necessarily exclusive, i.e., the PCI list may or may not include PCIs of non-</w:t>
                            </w:r>
                            <w:proofErr w:type="spellStart"/>
                            <w:r w:rsidRPr="00C01452">
                              <w:t>mIAB</w:t>
                            </w:r>
                            <w:proofErr w:type="spellEnd"/>
                            <w:r w:rsidRPr="00C01452">
                              <w:t xml:space="preserve"> cell. </w:t>
                            </w:r>
                          </w:p>
                          <w:p w14:paraId="10CF7E9B" w14:textId="1A584306" w:rsidR="00EB6F53" w:rsidRDefault="00543392" w:rsidP="00543392">
                            <w:pPr>
                              <w:pStyle w:val="Agreement"/>
                              <w:numPr>
                                <w:ilvl w:val="0"/>
                                <w:numId w:val="0"/>
                              </w:numPr>
                              <w:ind w:left="360"/>
                            </w:pPr>
                            <w:r w:rsidRPr="00CA0D04">
                              <w:t>P3</w:t>
                            </w:r>
                            <w:r w:rsidRPr="00C01452">
                              <w:t xml:space="preserve">: To discuss further if </w:t>
                            </w:r>
                            <w:proofErr w:type="spellStart"/>
                            <w:r w:rsidRPr="00C01452">
                              <w:t>mIAB</w:t>
                            </w:r>
                            <w:proofErr w:type="spellEnd"/>
                            <w:r w:rsidRPr="00C01452">
                              <w:t xml:space="preserve"> PCI list is not necessarily complete, i.e., the PCI list may or may not include all possible </w:t>
                            </w:r>
                            <w:proofErr w:type="spellStart"/>
                            <w:r w:rsidRPr="00C01452">
                              <w:t>mIAB</w:t>
                            </w:r>
                            <w:proofErr w:type="spellEnd"/>
                            <w:r w:rsidRPr="00C01452">
                              <w:t xml:space="preserve"> PCIs.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E5598A" id="_x0000_t202" coordsize="21600,21600" o:spt="202" path="m,l,21600r21600,l21600,xe">
                <v:stroke joinstyle="miter"/>
                <v:path gradientshapeok="t" o:connecttype="rect"/>
              </v:shapetype>
              <v:shape id="Text Box 2" o:spid="_x0000_s1026" type="#_x0000_t202" style="position:absolute;margin-left:10.3pt;margin-top:21.2pt;width:47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">
                <v:textbox style="mso-fit-shape-to-text:t">
                  <w:txbxContent>
                    <w:p w14:paraId="35C63406" w14:textId="3B695B7D" w:rsidR="00543392" w:rsidRPr="00AD74F7" w:rsidRDefault="00543392" w:rsidP="00543392">
                      <w:pPr>
                        <w:pStyle w:val="Agreement"/>
                        <w:numPr>
                          <w:ilvl w:val="0"/>
                          <w:numId w:val="8"/>
                        </w:numPr>
                        <w:tabs>
                          <w:tab w:val="clear" w:pos="720"/>
                          <w:tab w:val="num" w:pos="360"/>
                          <w:tab w:val="num" w:pos="928"/>
                        </w:tabs>
                        <w:ind w:left="360"/>
                        <w:rPr>
                          <w:rFonts w:eastAsia="Malgun Gothic"/>
                        </w:rPr>
                      </w:pPr>
                      <w:r>
                        <w:t xml:space="preserve">P1: </w:t>
                      </w:r>
                      <w:proofErr w:type="spellStart"/>
                      <w:r>
                        <w:t>mIAB</w:t>
                      </w:r>
                      <w:proofErr w:type="spellEnd"/>
                      <w:r>
                        <w:t xml:space="preserve"> PCI list is optional present (i.e., not mandatory) for indicated </w:t>
                      </w:r>
                      <w:proofErr w:type="spellStart"/>
                      <w:r>
                        <w:t>mIAB</w:t>
                      </w:r>
                      <w:proofErr w:type="spellEnd"/>
                      <w:r>
                        <w:t xml:space="preserve"> frequency (confirming that </w:t>
                      </w:r>
                      <w:proofErr w:type="spellStart"/>
                      <w:r>
                        <w:t>mIAB</w:t>
                      </w:r>
                      <w:proofErr w:type="spellEnd"/>
                      <w:r>
                        <w:t xml:space="preserve"> PCI list is introduced)</w:t>
                      </w:r>
                    </w:p>
                    <w:p w14:paraId="0FC699FB" w14:textId="77777777" w:rsidR="00543392" w:rsidRDefault="00543392" w:rsidP="00543392">
                      <w:pPr>
                        <w:pStyle w:val="Agreement"/>
                        <w:numPr>
                          <w:ilvl w:val="0"/>
                          <w:numId w:val="8"/>
                        </w:numPr>
                        <w:tabs>
                          <w:tab w:val="clear" w:pos="720"/>
                          <w:tab w:val="num" w:pos="360"/>
                          <w:tab w:val="num" w:pos="928"/>
                        </w:tabs>
                        <w:ind w:left="360"/>
                      </w:pPr>
                      <w:r>
                        <w:t xml:space="preserve">P7: it is left to UE implementation to determine an actual prioritized frequency among frequencies that can be prioritized for </w:t>
                      </w:r>
                      <w:proofErr w:type="spellStart"/>
                      <w:r>
                        <w:t>mIAB</w:t>
                      </w:r>
                      <w:proofErr w:type="spellEnd"/>
                      <w:r>
                        <w:t xml:space="preserve"> cell/HSDN/MBS/SL/V2X?</w:t>
                      </w:r>
                    </w:p>
                    <w:p w14:paraId="510DF6D1" w14:textId="77777777" w:rsidR="00543392" w:rsidRDefault="00543392" w:rsidP="00543392">
                      <w:pPr>
                        <w:pStyle w:val="Agreement"/>
                        <w:numPr>
                          <w:ilvl w:val="0"/>
                          <w:numId w:val="8"/>
                        </w:numPr>
                        <w:tabs>
                          <w:tab w:val="clear" w:pos="720"/>
                          <w:tab w:val="num" w:pos="360"/>
                          <w:tab w:val="num" w:pos="928"/>
                        </w:tabs>
                        <w:ind w:left="360"/>
                      </w:pPr>
                      <w:r>
                        <w:t xml:space="preserve">P8: Existing Note 0c in TS 38.304 is applicable for the prioritization between </w:t>
                      </w:r>
                      <w:proofErr w:type="spellStart"/>
                      <w:r>
                        <w:t>mIAB</w:t>
                      </w:r>
                      <w:proofErr w:type="spellEnd"/>
                      <w:r>
                        <w:t xml:space="preserve"> cell/HSDN/MBS/SL/V2X. So, </w:t>
                      </w:r>
                      <w:proofErr w:type="gramStart"/>
                      <w:r>
                        <w:t>no</w:t>
                      </w:r>
                      <w:proofErr w:type="gramEnd"/>
                      <w:r>
                        <w:t xml:space="preserve"> or marginal additional specification work is needed. </w:t>
                      </w:r>
                    </w:p>
                    <w:p w14:paraId="1FC29874" w14:textId="77777777" w:rsidR="00543392" w:rsidRDefault="00543392" w:rsidP="00543392">
                      <w:pPr>
                        <w:pStyle w:val="Agreement"/>
                        <w:numPr>
                          <w:ilvl w:val="0"/>
                          <w:numId w:val="8"/>
                        </w:numPr>
                        <w:tabs>
                          <w:tab w:val="clear" w:pos="720"/>
                          <w:tab w:val="num" w:pos="360"/>
                          <w:tab w:val="num" w:pos="928"/>
                        </w:tabs>
                        <w:ind w:left="360"/>
                      </w:pPr>
                      <w:r>
                        <w:t xml:space="preserve">FFS: </w:t>
                      </w:r>
                    </w:p>
                    <w:p w14:paraId="075F5C88" w14:textId="74292AED" w:rsidR="00543392" w:rsidRPr="00C01452" w:rsidRDefault="00543392" w:rsidP="00543392">
                      <w:pPr>
                        <w:pStyle w:val="Agreement"/>
                        <w:numPr>
                          <w:ilvl w:val="0"/>
                          <w:numId w:val="0"/>
                        </w:numPr>
                        <w:ind w:left="360"/>
                      </w:pPr>
                      <w:r w:rsidRPr="00CA0D04">
                        <w:t>P2</w:t>
                      </w:r>
                      <w:r w:rsidRPr="00C01452">
                        <w:t xml:space="preserve">: To discuss further if </w:t>
                      </w:r>
                      <w:proofErr w:type="spellStart"/>
                      <w:r w:rsidRPr="00C01452">
                        <w:t>mIAB</w:t>
                      </w:r>
                      <w:proofErr w:type="spellEnd"/>
                      <w:r w:rsidRPr="00C01452">
                        <w:t xml:space="preserve"> PCI list is not necessarily exclusive, i.e., the PCI list may or may not include PCIs of non-</w:t>
                      </w:r>
                      <w:proofErr w:type="spellStart"/>
                      <w:r w:rsidRPr="00C01452">
                        <w:t>mIAB</w:t>
                      </w:r>
                      <w:proofErr w:type="spellEnd"/>
                      <w:r w:rsidRPr="00C01452">
                        <w:t xml:space="preserve"> cell. </w:t>
                      </w:r>
                    </w:p>
                    <w:p w14:paraId="10CF7E9B" w14:textId="1A584306" w:rsidR="00EB6F53" w:rsidRDefault="00543392" w:rsidP="00543392">
                      <w:pPr>
                        <w:pStyle w:val="Agreement"/>
                        <w:numPr>
                          <w:ilvl w:val="0"/>
                          <w:numId w:val="0"/>
                        </w:numPr>
                        <w:ind w:left="360"/>
                      </w:pPr>
                      <w:r w:rsidRPr="00CA0D04">
                        <w:t>P3</w:t>
                      </w:r>
                      <w:r w:rsidRPr="00C01452">
                        <w:t xml:space="preserve">: To discuss further if </w:t>
                      </w:r>
                      <w:proofErr w:type="spellStart"/>
                      <w:r w:rsidRPr="00C01452">
                        <w:t>mIAB</w:t>
                      </w:r>
                      <w:proofErr w:type="spellEnd"/>
                      <w:r w:rsidRPr="00C01452">
                        <w:t xml:space="preserve"> PCI list is not necessarily complete, i.e., the PCI list may or may not include all possible </w:t>
                      </w:r>
                      <w:proofErr w:type="spellStart"/>
                      <w:r w:rsidRPr="00C01452">
                        <w:t>mIAB</w:t>
                      </w:r>
                      <w:proofErr w:type="spellEnd"/>
                      <w:r w:rsidRPr="00C01452">
                        <w:t xml:space="preserve"> PCIs.</w:t>
                      </w:r>
                    </w:p>
                  </w:txbxContent>
                </v:textbox>
                <w10:wrap type="topAndBottom"/>
              </v:shape>
            </w:pict>
          </mc:Fallback>
        </mc:AlternateContent>
      </w:r>
      <w:r w:rsidR="00C651FE">
        <w:t>And in RAN2#12</w:t>
      </w:r>
      <w:r w:rsidR="00B77E80">
        <w:t>3bis</w:t>
      </w:r>
      <w:r w:rsidR="00C651FE">
        <w:t>, the following details were</w:t>
      </w:r>
      <w:r w:rsidR="00700478">
        <w:t xml:space="preserve"> additionally agreed</w:t>
      </w:r>
      <w:r w:rsidR="00C651FE">
        <w:t>:</w:t>
      </w:r>
    </w:p>
    <w:p w14:paraId="619F40AF" w14:textId="71FC766F" w:rsidR="00264BCE" w:rsidRDefault="00F910A7" w:rsidP="00264BCE">
      <w:r>
        <w:t xml:space="preserve">Furthermore, earlier in RAN2#122, </w:t>
      </w:r>
      <w:r w:rsidR="00A57A97">
        <w:t xml:space="preserve">RAN2 </w:t>
      </w:r>
      <w:r>
        <w:t xml:space="preserve">sent an LS to SA2 </w:t>
      </w:r>
      <w:r w:rsidR="00C85BDD">
        <w:t xml:space="preserve">in </w:t>
      </w:r>
      <w:hyperlink r:id="rId12" w:history="1">
        <w:r w:rsidR="00C85BDD" w:rsidRPr="00C85BDD">
          <w:rPr>
            <w:rStyle w:val="Hyperlink"/>
          </w:rPr>
          <w:t>R2-2306895</w:t>
        </w:r>
      </w:hyperlink>
      <w:r w:rsidR="00C85BDD">
        <w:t xml:space="preserve"> </w:t>
      </w:r>
      <w:r>
        <w:t xml:space="preserve">requesting </w:t>
      </w:r>
      <w:r w:rsidR="008F4DAB">
        <w:t xml:space="preserve">clarification on </w:t>
      </w:r>
      <w:r>
        <w:t>the us</w:t>
      </w:r>
      <w:r w:rsidR="008F4DAB">
        <w:t>e</w:t>
      </w:r>
      <w:r>
        <w:t xml:space="preserve"> of CAG for mobile IAB. </w:t>
      </w:r>
      <w:r w:rsidR="008F4DAB">
        <w:t xml:space="preserve">SA2 has now replied in </w:t>
      </w:r>
      <w:r w:rsidR="007C377E" w:rsidRPr="007C377E">
        <w:t>S2-2309998</w:t>
      </w:r>
      <w:r w:rsidR="00FC0460">
        <w:t xml:space="preserve"> (</w:t>
      </w:r>
      <w:hyperlink r:id="rId13" w:history="1">
        <w:r w:rsidR="00AE1587" w:rsidRPr="00AE1587">
          <w:rPr>
            <w:rStyle w:val="Hyperlink"/>
          </w:rPr>
          <w:t>R2-2309475</w:t>
        </w:r>
      </w:hyperlink>
      <w:r w:rsidR="00FC0460">
        <w:t>)</w:t>
      </w:r>
      <w:r w:rsidR="00AC2DB8">
        <w:t>, confirming the following:</w:t>
      </w:r>
    </w:p>
    <w:p w14:paraId="0B83FE3E"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SA2 has specified the CAG mechanism as included in clause 5.35A.7 of TS 23.501 for MBSR/mobile IAB covering following aspects:</w:t>
      </w:r>
    </w:p>
    <w:p w14:paraId="61BD4280"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MBSR/mobile IAB node is configured with CAG identifier(s) and responsible for broadcast the CAG identifier(s) when MBSR is integrated into the system.</w:t>
      </w:r>
    </w:p>
    <w:p w14:paraId="34AD0842"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xml:space="preserve">- UE access control to MBSR/mobile IAB node is based on the CAG information provided in the subscription data. </w:t>
      </w:r>
    </w:p>
    <w:p w14:paraId="6D22AB0F"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In Rel-18, the CAG information for UE access control is enhanced with “time validity information” which indicates the applicable time duration of CAG identifier(s) as described in clauses 5.30.3.3 and 5.30.3.4 of TS 23.501.</w:t>
      </w:r>
      <w:r w:rsidRPr="00FA5A59">
        <w:rPr>
          <w:rFonts w:ascii="Arial" w:eastAsiaTheme="minorEastAsia" w:hAnsi="Arial" w:cs="Arial"/>
        </w:rPr>
        <w:t xml:space="preserve"> No AS layer impact is expected for this enhancement, as the “time validity information” is not provided to NG-RAN by AMF and is only provided to UEs that indicated the support of the validity information in NAS.</w:t>
      </w:r>
    </w:p>
    <w:p w14:paraId="66094B8B"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p>
    <w:p w14:paraId="0DA3FF52"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lastRenderedPageBreak/>
        <w:t>SA2 indicates that CAG for MBSR/mobile IAB is applied under the concept of existing PNI-NPN as further clarified in the agreed CR.</w:t>
      </w:r>
    </w:p>
    <w:p w14:paraId="1A52B62B" w14:textId="77777777" w:rsidR="0001448C" w:rsidRDefault="0001448C" w:rsidP="00282E06">
      <w:pPr>
        <w:spacing w:after="0"/>
      </w:pPr>
    </w:p>
    <w:p w14:paraId="65318868" w14:textId="40521DFB" w:rsidR="00BF467D" w:rsidRDefault="00282E06" w:rsidP="00282E06">
      <w:pPr>
        <w:spacing w:after="0"/>
      </w:pPr>
      <w:r>
        <w:t xml:space="preserve">In this contribution, </w:t>
      </w:r>
      <w:r w:rsidR="003A11C0">
        <w:t xml:space="preserve">we discuss whether there is any need to make or indicate that the mobile IAB PCI list in SIB4 is exclusive and/or complete. </w:t>
      </w:r>
      <w:r w:rsidR="00BC5FD1">
        <w:t>W</w:t>
      </w:r>
      <w:r>
        <w:t xml:space="preserve">e </w:t>
      </w:r>
      <w:r w:rsidR="00BC5FD1">
        <w:t xml:space="preserve">also </w:t>
      </w:r>
      <w:r>
        <w:t xml:space="preserve">discuss the </w:t>
      </w:r>
      <w:r w:rsidR="00CF5242">
        <w:t>specification impacts that will need to be considered</w:t>
      </w:r>
      <w:r w:rsidR="00F72BBE">
        <w:t xml:space="preserve"> </w:t>
      </w:r>
      <w:r w:rsidR="00E95DCE">
        <w:t>for</w:t>
      </w:r>
      <w:r w:rsidR="009766BB">
        <w:t xml:space="preserve"> scenarios where mobile IAB cells are configured with CAG-IDs </w:t>
      </w:r>
      <w:proofErr w:type="gramStart"/>
      <w:r w:rsidR="009766BB">
        <w:t xml:space="preserve">in </w:t>
      </w:r>
      <w:r w:rsidR="00E95DCE">
        <w:t>light of</w:t>
      </w:r>
      <w:proofErr w:type="gramEnd"/>
      <w:r w:rsidR="009766BB">
        <w:t xml:space="preserve"> </w:t>
      </w:r>
      <w:r w:rsidR="00E95DCE">
        <w:t xml:space="preserve">the </w:t>
      </w:r>
      <w:r w:rsidR="0046637E">
        <w:t xml:space="preserve">cell reselection-related </w:t>
      </w:r>
      <w:r w:rsidR="00E95DCE">
        <w:t xml:space="preserve">agreements </w:t>
      </w:r>
      <w:r w:rsidR="0046637E">
        <w:t xml:space="preserve">made in </w:t>
      </w:r>
      <w:r w:rsidR="00E95DCE">
        <w:t>RAN2</w:t>
      </w:r>
      <w:r w:rsidR="0046637E">
        <w:t>#123</w:t>
      </w:r>
      <w:r w:rsidR="00BC5FD1">
        <w:t xml:space="preserve"> and RAN2#123bis</w:t>
      </w:r>
      <w:r w:rsidR="00E95DCE">
        <w:t>.</w:t>
      </w:r>
    </w:p>
    <w:p w14:paraId="7D484B6E" w14:textId="43534EA4" w:rsidR="009339CB" w:rsidRPr="006E13D1" w:rsidRDefault="009339CB" w:rsidP="009339CB">
      <w:pPr>
        <w:pStyle w:val="Heading1"/>
      </w:pPr>
      <w:r w:rsidRPr="006E13D1">
        <w:t>2</w:t>
      </w:r>
      <w:r w:rsidRPr="006E13D1">
        <w:tab/>
      </w:r>
      <w:r w:rsidR="00BF467D">
        <w:t>Discussion</w:t>
      </w:r>
    </w:p>
    <w:p w14:paraId="0CAEC25C" w14:textId="70906AF7" w:rsidR="00B4349D" w:rsidRDefault="007855CA" w:rsidP="009339CB">
      <w:pPr>
        <w:pStyle w:val="Heading2"/>
      </w:pPr>
      <w:r>
        <w:t>2.1</w:t>
      </w:r>
      <w:r w:rsidRPr="007855CA">
        <w:t xml:space="preserve"> </w:t>
      </w:r>
      <w:r w:rsidRPr="006E13D1">
        <w:tab/>
      </w:r>
      <w:r w:rsidR="004C3202">
        <w:t xml:space="preserve">SIB4 </w:t>
      </w:r>
      <w:proofErr w:type="spellStart"/>
      <w:r w:rsidR="004C3202">
        <w:t>mIAB</w:t>
      </w:r>
      <w:proofErr w:type="spellEnd"/>
      <w:r w:rsidR="00DE294E">
        <w:t xml:space="preserve"> </w:t>
      </w:r>
      <w:r w:rsidR="008863F5">
        <w:t>PCI list</w:t>
      </w:r>
    </w:p>
    <w:p w14:paraId="57607404" w14:textId="5615C9B7" w:rsidR="004F750C" w:rsidRDefault="008E2B3B" w:rsidP="00DE294E">
      <w:r>
        <w:t xml:space="preserve">Last meeting RAN2 agreed that the network may optionally broadcast a </w:t>
      </w:r>
      <w:r w:rsidR="004F750C">
        <w:t>list of (inter-frequency)</w:t>
      </w:r>
      <w:r>
        <w:t xml:space="preserve"> PCIs in SIB4 to assist a UE</w:t>
      </w:r>
      <w:r w:rsidR="004E3716">
        <w:t xml:space="preserve"> with searching for mobile IAB cells. </w:t>
      </w:r>
      <w:r w:rsidR="00794B4A">
        <w:t xml:space="preserve">One issue that was left unresolved was whether there is any need to distinguish </w:t>
      </w:r>
      <w:r w:rsidR="00581A1A">
        <w:t>the list of PCIs as exclusive</w:t>
      </w:r>
      <w:r w:rsidR="00F70BFA">
        <w:t xml:space="preserve"> or complete, where the definitions are given below.</w:t>
      </w:r>
    </w:p>
    <w:p w14:paraId="192DBCFA" w14:textId="46C94A9A" w:rsidR="00F70BFA" w:rsidRDefault="00F70BFA" w:rsidP="00DE294E">
      <w:r w:rsidRPr="00CA194B">
        <w:rPr>
          <w:i/>
          <w:iCs/>
        </w:rPr>
        <w:t>Exclusive PCI list</w:t>
      </w:r>
      <w:r>
        <w:t>: The PCIs</w:t>
      </w:r>
      <w:r w:rsidR="00F769A0">
        <w:t xml:space="preserve"> given in the PCI list are applicable to mobile IAB cells only and will never be allocated to </w:t>
      </w:r>
      <w:r w:rsidR="00DB2083">
        <w:t>stationary (non-</w:t>
      </w:r>
      <w:proofErr w:type="spellStart"/>
      <w:r w:rsidR="00DB2083">
        <w:t>mIAB</w:t>
      </w:r>
      <w:proofErr w:type="spellEnd"/>
      <w:r w:rsidR="00DB2083">
        <w:t>) cells.</w:t>
      </w:r>
    </w:p>
    <w:p w14:paraId="5B37BC16" w14:textId="0FDBD2D7" w:rsidR="00DB2083" w:rsidRDefault="00DB2083" w:rsidP="00DE294E">
      <w:r w:rsidRPr="00CA194B">
        <w:rPr>
          <w:i/>
          <w:iCs/>
        </w:rPr>
        <w:t>Complete PCI list</w:t>
      </w:r>
      <w:r>
        <w:t>:</w:t>
      </w:r>
      <w:r w:rsidR="002862CE">
        <w:t xml:space="preserve"> The PCIs in the PCI list </w:t>
      </w:r>
      <w:r w:rsidR="00CB29A6">
        <w:t xml:space="preserve">cover the full range of PCIs that would be allocated to </w:t>
      </w:r>
      <w:proofErr w:type="spellStart"/>
      <w:r w:rsidR="00CB29A6">
        <w:t>mIAB</w:t>
      </w:r>
      <w:proofErr w:type="spellEnd"/>
      <w:r w:rsidR="00CB29A6">
        <w:t xml:space="preserve"> cells</w:t>
      </w:r>
      <w:r w:rsidR="009C2133">
        <w:t>, but this ra</w:t>
      </w:r>
      <w:r w:rsidR="001E0A26">
        <w:t>nge may overlap with other (non-</w:t>
      </w:r>
      <w:proofErr w:type="spellStart"/>
      <w:r w:rsidR="001E0A26">
        <w:t>mIAB</w:t>
      </w:r>
      <w:proofErr w:type="spellEnd"/>
      <w:r w:rsidR="001E0A26">
        <w:t>) cells</w:t>
      </w:r>
      <w:r w:rsidR="00CB29A6">
        <w:t>.</w:t>
      </w:r>
    </w:p>
    <w:p w14:paraId="778FD582" w14:textId="19D39B30" w:rsidR="003C5AAC" w:rsidRDefault="00BC2F6E" w:rsidP="00DE294E">
      <w:r>
        <w:t xml:space="preserve">It is noted that a PCI list could be </w:t>
      </w:r>
      <w:r w:rsidR="00D90106">
        <w:t>(</w:t>
      </w:r>
      <w:proofErr w:type="spellStart"/>
      <w:r w:rsidR="00D90106">
        <w:t>i</w:t>
      </w:r>
      <w:proofErr w:type="spellEnd"/>
      <w:r w:rsidR="00D90106">
        <w:t xml:space="preserve">) </w:t>
      </w:r>
      <w:r>
        <w:t xml:space="preserve">exclusive to </w:t>
      </w:r>
      <w:proofErr w:type="spellStart"/>
      <w:r>
        <w:t>mIAB</w:t>
      </w:r>
      <w:proofErr w:type="spellEnd"/>
      <w:r w:rsidR="007F615D">
        <w:t xml:space="preserve"> but not complete, </w:t>
      </w:r>
      <w:r w:rsidR="001371AB">
        <w:t>(ii)</w:t>
      </w:r>
      <w:r w:rsidR="007F615D">
        <w:t xml:space="preserve"> complete but not exclusive, </w:t>
      </w:r>
      <w:r w:rsidR="001371AB">
        <w:t xml:space="preserve">(iii) </w:t>
      </w:r>
      <w:r w:rsidR="00DA06BF">
        <w:t xml:space="preserve">both exclusive and complete, or </w:t>
      </w:r>
      <w:r w:rsidR="001371AB">
        <w:t>(iv)</w:t>
      </w:r>
      <w:r w:rsidR="00DA06BF">
        <w:t xml:space="preserve"> neither exclusive nor complete.</w:t>
      </w:r>
    </w:p>
    <w:p w14:paraId="7E042B18" w14:textId="2521645F" w:rsidR="00BC2F6E" w:rsidRDefault="003C5AAC" w:rsidP="00DE294E">
      <w:r>
        <w:t>Some companies had observed that d</w:t>
      </w:r>
      <w:r w:rsidR="003E6E9F">
        <w:t>epending on which of the cases (</w:t>
      </w:r>
      <w:proofErr w:type="spellStart"/>
      <w:r w:rsidR="003E6E9F">
        <w:t>i</w:t>
      </w:r>
      <w:proofErr w:type="spellEnd"/>
      <w:r w:rsidR="003E6E9F">
        <w:t xml:space="preserve">)-(iv) apply, </w:t>
      </w:r>
      <w:r>
        <w:t>how a UE searches fo</w:t>
      </w:r>
      <w:r w:rsidR="007926DA">
        <w:t xml:space="preserve">r mobile IAB cells </w:t>
      </w:r>
      <w:r w:rsidR="00A678F6">
        <w:t>might</w:t>
      </w:r>
      <w:r w:rsidR="007926DA">
        <w:t xml:space="preserve"> be different</w:t>
      </w:r>
      <w:r w:rsidR="00C1550D">
        <w:t xml:space="preserve">; </w:t>
      </w:r>
      <w:r w:rsidR="007926DA">
        <w:t xml:space="preserve">for example, </w:t>
      </w:r>
      <w:r w:rsidR="00184276">
        <w:t>in case (</w:t>
      </w:r>
      <w:r w:rsidR="008E7078">
        <w:t xml:space="preserve">iii), a UE </w:t>
      </w:r>
      <w:r w:rsidR="00D83C7B">
        <w:t>might</w:t>
      </w:r>
      <w:r w:rsidR="008E7078">
        <w:t xml:space="preserve"> be able to </w:t>
      </w:r>
      <w:r w:rsidR="00D83C7B">
        <w:t>detect a mobile IAB cell based on the</w:t>
      </w:r>
      <w:r w:rsidR="00620261">
        <w:t xml:space="preserve"> SIB4</w:t>
      </w:r>
      <w:r w:rsidR="00D83C7B">
        <w:t xml:space="preserve"> PCI list alone</w:t>
      </w:r>
      <w:r w:rsidR="00620261">
        <w:t xml:space="preserve"> and would be able to assume that there are no other mobile IAB cells </w:t>
      </w:r>
      <w:r w:rsidR="00C209EC">
        <w:t xml:space="preserve">outside </w:t>
      </w:r>
      <w:r w:rsidR="006262AC">
        <w:t xml:space="preserve">that </w:t>
      </w:r>
      <w:r w:rsidR="00C209EC">
        <w:t>list of PCIs</w:t>
      </w:r>
      <w:r w:rsidR="006262AC">
        <w:t>, eliminating the need to ever search for mobile IAB cells on PCIs outside that list</w:t>
      </w:r>
      <w:r w:rsidR="00C209EC">
        <w:t>.</w:t>
      </w:r>
      <w:r w:rsidR="00BC4BFF">
        <w:t xml:space="preserve"> Therefore, it was suggested that </w:t>
      </w:r>
      <w:r w:rsidR="00C1550D">
        <w:t>additional indications could be used to distinguish among the different cases.</w:t>
      </w:r>
    </w:p>
    <w:p w14:paraId="59223AC2" w14:textId="0F716DA8" w:rsidR="00CA194B" w:rsidRDefault="00184E85" w:rsidP="00DE294E">
      <w:r>
        <w:t xml:space="preserve">However, RAN2 already agreed at RAN2#123 that </w:t>
      </w:r>
      <w:r w:rsidR="004D062E">
        <w:t xml:space="preserve">the procedure </w:t>
      </w:r>
      <w:r w:rsidR="00677D0D">
        <w:t xml:space="preserve">that </w:t>
      </w:r>
      <w:r w:rsidR="004D062E">
        <w:t xml:space="preserve">the UE follows to search </w:t>
      </w:r>
      <w:r w:rsidR="00B112E4">
        <w:t xml:space="preserve">for </w:t>
      </w:r>
      <w:r w:rsidR="004D062E">
        <w:t xml:space="preserve">and measure </w:t>
      </w:r>
      <w:proofErr w:type="spellStart"/>
      <w:r w:rsidR="004D062E">
        <w:t>mIAB</w:t>
      </w:r>
      <w:proofErr w:type="spellEnd"/>
      <w:r w:rsidR="004D062E">
        <w:t xml:space="preserve"> cells on different frequencies is unspecified</w:t>
      </w:r>
      <w:r w:rsidR="003856D6">
        <w:t xml:space="preserve"> (</w:t>
      </w:r>
      <w:proofErr w:type="gramStart"/>
      <w:r w:rsidR="003856D6">
        <w:t>i.e.</w:t>
      </w:r>
      <w:proofErr w:type="gramEnd"/>
      <w:r w:rsidR="003856D6">
        <w:t xml:space="preserve"> left to UE implementation). In our view</w:t>
      </w:r>
      <w:r w:rsidR="00A672D0">
        <w:t>, this means that</w:t>
      </w:r>
      <w:r w:rsidR="00186703">
        <w:t>, while</w:t>
      </w:r>
      <w:r w:rsidR="00354573">
        <w:t xml:space="preserve"> </w:t>
      </w:r>
      <w:r w:rsidR="00A672D0">
        <w:t>the</w:t>
      </w:r>
      <w:r w:rsidR="003856D6">
        <w:t xml:space="preserve"> </w:t>
      </w:r>
      <w:r w:rsidR="00A672D0" w:rsidRPr="00A672D0">
        <w:t xml:space="preserve">SIB4 </w:t>
      </w:r>
      <w:r w:rsidR="00A672D0">
        <w:t xml:space="preserve">PCI list </w:t>
      </w:r>
      <w:r w:rsidR="00354573">
        <w:t>may be used by UEs to</w:t>
      </w:r>
      <w:r w:rsidR="00A672D0" w:rsidRPr="00A672D0">
        <w:t xml:space="preserve"> narrow the</w:t>
      </w:r>
      <w:r w:rsidR="00A672D0">
        <w:t>ir</w:t>
      </w:r>
      <w:r w:rsidR="00A672D0" w:rsidRPr="00A672D0">
        <w:t xml:space="preserve"> search for mobile IAB cells, UE</w:t>
      </w:r>
      <w:r w:rsidR="00C038C8">
        <w:t>s</w:t>
      </w:r>
      <w:r w:rsidR="00A672D0" w:rsidRPr="00A672D0">
        <w:t xml:space="preserve"> </w:t>
      </w:r>
      <w:r w:rsidR="00C038C8">
        <w:t>are</w:t>
      </w:r>
      <w:r w:rsidR="00A672D0" w:rsidRPr="00A672D0">
        <w:t xml:space="preserve"> not mandated to </w:t>
      </w:r>
      <w:r w:rsidR="00354573">
        <w:t>use</w:t>
      </w:r>
      <w:r w:rsidR="00A672D0" w:rsidRPr="00A672D0">
        <w:t xml:space="preserve"> the assistance information in SIB4</w:t>
      </w:r>
      <w:r w:rsidR="00354573">
        <w:t xml:space="preserve">, so </w:t>
      </w:r>
      <w:r w:rsidR="008D36EF">
        <w:t xml:space="preserve">specifying any further granularity to the PCI list (based on exclusivity or completeness) </w:t>
      </w:r>
      <w:r w:rsidR="00A62306">
        <w:t>seems unnecessary</w:t>
      </w:r>
      <w:r w:rsidR="00C038C8">
        <w:t>.</w:t>
      </w:r>
      <w:r w:rsidR="00552DEE">
        <w:t xml:space="preserve"> </w:t>
      </w:r>
    </w:p>
    <w:p w14:paraId="1454A1C8" w14:textId="30A8DCC0" w:rsidR="00B64F93" w:rsidRDefault="00B64F93" w:rsidP="00DE294E">
      <w:r w:rsidRPr="00CC32AD">
        <w:rPr>
          <w:b/>
          <w:bCs/>
        </w:rPr>
        <w:t xml:space="preserve">Observation </w:t>
      </w:r>
      <w:r>
        <w:rPr>
          <w:b/>
          <w:bCs/>
        </w:rPr>
        <w:t>1</w:t>
      </w:r>
      <w:r>
        <w:t>: The PCI list can help UEs search for mobile IAB cells, but RAN2</w:t>
      </w:r>
      <w:r w:rsidR="001D3B78">
        <w:t xml:space="preserve"> already</w:t>
      </w:r>
      <w:r>
        <w:t xml:space="preserve"> agreed not to further </w:t>
      </w:r>
      <w:r w:rsidR="005033B5">
        <w:t>speci</w:t>
      </w:r>
      <w:r w:rsidR="00DD4FD0">
        <w:t xml:space="preserve">fy </w:t>
      </w:r>
      <w:r>
        <w:t>how UEs use this information to search</w:t>
      </w:r>
      <w:r w:rsidR="00867F2A">
        <w:t xml:space="preserve"> for</w:t>
      </w:r>
      <w:r>
        <w:t>/measure</w:t>
      </w:r>
      <w:r w:rsidR="00867F2A">
        <w:t xml:space="preserve"> mobile IAB</w:t>
      </w:r>
      <w:r>
        <w:t xml:space="preserve"> cells.</w:t>
      </w:r>
    </w:p>
    <w:p w14:paraId="0E8A74D6" w14:textId="4C73DF91" w:rsidR="00D35394" w:rsidRDefault="00D35394" w:rsidP="00DE294E">
      <w:r>
        <w:t xml:space="preserve">Furthermore, since it is ultimately up to the network operator to configure the </w:t>
      </w:r>
      <w:r w:rsidR="00981760">
        <w:t xml:space="preserve">SIB4 PCI list, </w:t>
      </w:r>
      <w:r w:rsidR="002F7E58">
        <w:t xml:space="preserve">we are not very convinced that it makes sense to distinguish among the cases </w:t>
      </w:r>
      <w:r w:rsidR="00072DE7">
        <w:t xml:space="preserve">where the PCI list is exclusive and/or complete. </w:t>
      </w:r>
      <w:r w:rsidR="00C45749">
        <w:t xml:space="preserve">In most cases it is expected that the operator would anyway </w:t>
      </w:r>
      <w:r w:rsidR="00DB051A">
        <w:t>aim to make the mobile IAB PCI list exclusive and complete</w:t>
      </w:r>
      <w:r w:rsidR="000B760B">
        <w:t xml:space="preserve">. However, </w:t>
      </w:r>
      <w:r w:rsidR="003771B1">
        <w:t xml:space="preserve">an operator may not be able to guarantee this, considering </w:t>
      </w:r>
      <w:r w:rsidR="00C02E13">
        <w:t>a</w:t>
      </w:r>
      <w:r w:rsidR="003771B1">
        <w:t xml:space="preserve"> mobile IAB vehicle </w:t>
      </w:r>
      <w:r w:rsidR="00C02E13">
        <w:t>can</w:t>
      </w:r>
      <w:r w:rsidR="003771B1">
        <w:t xml:space="preserve"> move from one network area to another on</w:t>
      </w:r>
      <w:r w:rsidR="008A75D5">
        <w:t xml:space="preserve">e (and possibly to a different </w:t>
      </w:r>
      <w:r w:rsidR="00C02E13">
        <w:t>PLMN</w:t>
      </w:r>
      <w:r w:rsidR="008A75D5">
        <w:t xml:space="preserve"> altogether)</w:t>
      </w:r>
      <w:r w:rsidR="00E62810">
        <w:t>. For</w:t>
      </w:r>
      <w:r w:rsidR="00B30A76">
        <w:t xml:space="preserve"> certain</w:t>
      </w:r>
      <w:r w:rsidR="00E62810">
        <w:t xml:space="preserve"> applications where an operator may want to strictly control </w:t>
      </w:r>
      <w:r w:rsidR="00595DAE">
        <w:t xml:space="preserve">which mobile IAB cells a UE searches for, it may make more sense to </w:t>
      </w:r>
      <w:r w:rsidR="00B30A76">
        <w:t>make use of CAG IDs jointly with the mobile PCI list</w:t>
      </w:r>
      <w:r w:rsidR="008A75D5">
        <w:t xml:space="preserve"> </w:t>
      </w:r>
      <w:r w:rsidR="00B30A76">
        <w:t>(as we discuss in the next section)</w:t>
      </w:r>
      <w:r w:rsidR="000B0152">
        <w:t>.</w:t>
      </w:r>
    </w:p>
    <w:p w14:paraId="1170044B" w14:textId="24EAB416" w:rsidR="00BF5E44" w:rsidRDefault="00BF5E44" w:rsidP="00695685">
      <w:r w:rsidRPr="00CC32AD">
        <w:rPr>
          <w:b/>
          <w:bCs/>
        </w:rPr>
        <w:t xml:space="preserve">Observation </w:t>
      </w:r>
      <w:r w:rsidR="00B64F93">
        <w:rPr>
          <w:b/>
          <w:bCs/>
        </w:rPr>
        <w:t>2</w:t>
      </w:r>
      <w:r>
        <w:t xml:space="preserve">: </w:t>
      </w:r>
      <w:r w:rsidR="00171551">
        <w:t>I</w:t>
      </w:r>
      <w:r w:rsidR="00EC0A92">
        <w:t>t is expected tha</w:t>
      </w:r>
      <w:r w:rsidR="00027ABD">
        <w:t xml:space="preserve">t </w:t>
      </w:r>
      <w:r w:rsidR="00171551">
        <w:t>operator</w:t>
      </w:r>
      <w:r w:rsidR="00EC0A92">
        <w:t>s</w:t>
      </w:r>
      <w:r w:rsidR="00171551">
        <w:t xml:space="preserve"> would </w:t>
      </w:r>
      <w:r w:rsidR="00027ABD">
        <w:t>typically try (as best as possible)</w:t>
      </w:r>
      <w:r w:rsidR="00171551">
        <w:t xml:space="preserve"> to </w:t>
      </w:r>
      <w:r w:rsidR="00EC0A92">
        <w:t>configure the SIB4 PCI list to be exclusive</w:t>
      </w:r>
      <w:r w:rsidR="00027ABD">
        <w:t xml:space="preserve"> and/or </w:t>
      </w:r>
      <w:r w:rsidR="00EC0A92">
        <w:t>complete,</w:t>
      </w:r>
      <w:r w:rsidR="003F0756">
        <w:t xml:space="preserve"> but due to the inherent mobility of </w:t>
      </w:r>
      <w:proofErr w:type="spellStart"/>
      <w:r w:rsidR="000C4E96">
        <w:t>mIAB</w:t>
      </w:r>
      <w:proofErr w:type="spellEnd"/>
      <w:r w:rsidR="000C4E96">
        <w:t xml:space="preserve"> </w:t>
      </w:r>
      <w:r w:rsidR="003F0756">
        <w:t>nodes, it’s not clear if this can be guaranteed</w:t>
      </w:r>
      <w:r w:rsidR="00652FDA">
        <w:t>.</w:t>
      </w:r>
    </w:p>
    <w:p w14:paraId="6731E4C9" w14:textId="4854E459" w:rsidR="00695685" w:rsidRPr="000B3776" w:rsidRDefault="00CC32AD" w:rsidP="00695685">
      <w:r w:rsidRPr="000F5382">
        <w:rPr>
          <w:b/>
          <w:bCs/>
        </w:rPr>
        <w:t>Proposal 1</w:t>
      </w:r>
      <w:r>
        <w:t>:</w:t>
      </w:r>
      <w:r w:rsidR="0005237E">
        <w:t xml:space="preserve"> </w:t>
      </w:r>
      <w:r w:rsidR="00DE2EC9">
        <w:t xml:space="preserve">RAN2 does not specify additional </w:t>
      </w:r>
      <w:r w:rsidR="005E1A1C">
        <w:t>enhancements related to the PCI list being exclusive and/or complete</w:t>
      </w:r>
      <w:r w:rsidR="000F5382">
        <w:t>.</w:t>
      </w:r>
      <w:r w:rsidR="005E1A1C">
        <w:t xml:space="preserve"> How the PCI list is configured is </w:t>
      </w:r>
      <w:r w:rsidR="00B95A1D">
        <w:t>up</w:t>
      </w:r>
      <w:r w:rsidR="005E1A1C">
        <w:t xml:space="preserve"> to network configuration </w:t>
      </w:r>
      <w:r w:rsidR="00B95A1D">
        <w:t xml:space="preserve">and how UEs use that information for </w:t>
      </w:r>
      <w:proofErr w:type="spellStart"/>
      <w:r w:rsidR="00B95A1D">
        <w:t>mIAB</w:t>
      </w:r>
      <w:proofErr w:type="spellEnd"/>
      <w:r w:rsidR="00B95A1D">
        <w:t xml:space="preserve"> cell search/measurement is left to UE implementation.</w:t>
      </w:r>
    </w:p>
    <w:p w14:paraId="5982B445" w14:textId="06191E5E" w:rsidR="009339CB" w:rsidRPr="006E13D1" w:rsidRDefault="009339CB" w:rsidP="009339CB">
      <w:pPr>
        <w:pStyle w:val="Heading2"/>
      </w:pPr>
      <w:r>
        <w:t>2</w:t>
      </w:r>
      <w:r w:rsidRPr="006E13D1">
        <w:t>.</w:t>
      </w:r>
      <w:r w:rsidR="00B4349D">
        <w:t>2</w:t>
      </w:r>
      <w:r w:rsidRPr="006E13D1">
        <w:tab/>
      </w:r>
      <w:r w:rsidR="00E9016F">
        <w:t xml:space="preserve">Prioritizing </w:t>
      </w:r>
      <w:r w:rsidR="00150DF4">
        <w:t xml:space="preserve">CAG </w:t>
      </w:r>
      <w:r w:rsidR="00282E06">
        <w:t>mobile IAB cells</w:t>
      </w:r>
      <w:r w:rsidR="00150DF4">
        <w:t xml:space="preserve"> for cell reselection</w:t>
      </w:r>
    </w:p>
    <w:p w14:paraId="33FDD930" w14:textId="0F7A00F4" w:rsidR="001047C5" w:rsidRDefault="00D773F4" w:rsidP="009339CB">
      <w:r w:rsidRPr="00D773F4">
        <w:t>Based</w:t>
      </w:r>
      <w:r>
        <w:t xml:space="preserve"> on SA2’s LS</w:t>
      </w:r>
      <w:r w:rsidR="002A0EDD">
        <w:t xml:space="preserve">, </w:t>
      </w:r>
      <w:r w:rsidR="008F32B7">
        <w:t>the usage of</w:t>
      </w:r>
      <w:r w:rsidR="002A0EDD">
        <w:t xml:space="preserve"> CAG </w:t>
      </w:r>
      <w:r w:rsidR="00BD7FB8">
        <w:t>for</w:t>
      </w:r>
      <w:r w:rsidR="002A0EDD">
        <w:t xml:space="preserve"> mobile IAB </w:t>
      </w:r>
      <w:r w:rsidR="008F32B7">
        <w:t xml:space="preserve">is applied under the </w:t>
      </w:r>
      <w:r w:rsidR="00C4580F">
        <w:t>PNI-NPN</w:t>
      </w:r>
      <w:r w:rsidR="00037D5F">
        <w:t xml:space="preserve"> concept</w:t>
      </w:r>
      <w:r w:rsidR="00B67416">
        <w:t>.</w:t>
      </w:r>
      <w:r w:rsidR="00801AE2">
        <w:t xml:space="preserve"> </w:t>
      </w:r>
      <w:r w:rsidR="00B67416">
        <w:t xml:space="preserve">This </w:t>
      </w:r>
      <w:r w:rsidR="00801AE2">
        <w:t>mean</w:t>
      </w:r>
      <w:r w:rsidR="009138FD">
        <w:t>s that</w:t>
      </w:r>
      <w:r w:rsidR="00801AE2">
        <w:t xml:space="preserve"> no new indications are needed to </w:t>
      </w:r>
      <w:r w:rsidR="00B67416">
        <w:t>support CAG for mobile IAB</w:t>
      </w:r>
      <w:r w:rsidR="009138FD">
        <w:t xml:space="preserve">, </w:t>
      </w:r>
      <w:r w:rsidR="00090765">
        <w:t>since</w:t>
      </w:r>
      <w:r w:rsidR="009138FD">
        <w:t xml:space="preserve"> the </w:t>
      </w:r>
      <w:r w:rsidR="002C4EF1">
        <w:t xml:space="preserve">existing </w:t>
      </w:r>
      <w:r w:rsidR="00C110A2" w:rsidRPr="003E58B0">
        <w:rPr>
          <w:i/>
          <w:iCs/>
        </w:rPr>
        <w:t>NPN-Identity</w:t>
      </w:r>
      <w:r w:rsidR="00C110A2">
        <w:t xml:space="preserve"> IE can be used to broadcast CAG-ID(s) for mobile IAB cells</w:t>
      </w:r>
      <w:r w:rsidR="00B67416">
        <w:t>.</w:t>
      </w:r>
    </w:p>
    <w:p w14:paraId="164DC667" w14:textId="41E49064" w:rsidR="000F49E0" w:rsidRPr="00D773F4" w:rsidRDefault="000F49E0" w:rsidP="009339CB">
      <w:r>
        <w:lastRenderedPageBreak/>
        <w:t xml:space="preserve">Under the existing CAG framework in NR, UEs must </w:t>
      </w:r>
      <w:r w:rsidR="00D66DEC">
        <w:t xml:space="preserve">follow cell reselection criteria and priorities when searching </w:t>
      </w:r>
      <w:r w:rsidR="00D1044E">
        <w:t xml:space="preserve">for </w:t>
      </w:r>
      <w:r w:rsidR="00D66DEC">
        <w:t xml:space="preserve">and selecting </w:t>
      </w:r>
      <w:r w:rsidR="00D1044E">
        <w:t>CAG cells. From TS 38.304:</w:t>
      </w:r>
    </w:p>
    <w:p w14:paraId="2C58D99E" w14:textId="77777777" w:rsidR="00282E06" w:rsidRPr="00282E06" w:rsidRDefault="00282E06" w:rsidP="00282E06">
      <w:pPr>
        <w:keepNext/>
        <w:pBdr>
          <w:top w:val="single" w:sz="4" w:space="1" w:color="auto"/>
          <w:left w:val="single" w:sz="4" w:space="4" w:color="auto"/>
          <w:bottom w:val="single" w:sz="4" w:space="1" w:color="auto"/>
          <w:right w:val="single" w:sz="4" w:space="4" w:color="auto"/>
        </w:pBdr>
        <w:overflowPunct w:val="0"/>
        <w:autoSpaceDE w:val="0"/>
        <w:autoSpaceDN w:val="0"/>
        <w:spacing w:before="120"/>
        <w:ind w:left="1418" w:hanging="1418"/>
        <w:outlineLvl w:val="3"/>
        <w:rPr>
          <w:rFonts w:ascii="Arial" w:hAnsi="Arial" w:cs="Arial"/>
          <w:sz w:val="24"/>
          <w:szCs w:val="24"/>
          <w:lang w:eastAsia="ja-JP"/>
        </w:rPr>
      </w:pPr>
      <w:bookmarkStart w:id="0" w:name="_Toc124795020"/>
      <w:r w:rsidRPr="00282E06">
        <w:rPr>
          <w:rFonts w:ascii="Arial" w:hAnsi="Arial" w:cs="Arial"/>
          <w:sz w:val="24"/>
          <w:szCs w:val="24"/>
          <w:lang w:eastAsia="ja-JP"/>
        </w:rPr>
        <w:t xml:space="preserve">5.2.4.10        </w:t>
      </w:r>
      <w:r w:rsidRPr="00282E06">
        <w:rPr>
          <w:rFonts w:ascii="Arial" w:hAnsi="Arial" w:cs="Arial"/>
          <w:sz w:val="24"/>
          <w:szCs w:val="24"/>
          <w:lang w:eastAsia="zh-CN"/>
        </w:rPr>
        <w:t>Cell reselection with CAG cells</w:t>
      </w:r>
      <w:bookmarkEnd w:id="0"/>
    </w:p>
    <w:p w14:paraId="67A1527F" w14:textId="77777777" w:rsidR="00282E06" w:rsidRPr="00282E06" w:rsidRDefault="00282E06" w:rsidP="00282E06">
      <w:pPr>
        <w:pBdr>
          <w:top w:val="single" w:sz="4" w:space="1" w:color="auto"/>
          <w:left w:val="single" w:sz="4" w:space="4" w:color="auto"/>
          <w:bottom w:val="single" w:sz="4" w:space="1" w:color="auto"/>
          <w:right w:val="single" w:sz="4" w:space="4" w:color="auto"/>
        </w:pBdr>
        <w:spacing w:after="0"/>
        <w:rPr>
          <w:rFonts w:eastAsia="Calibri"/>
          <w:lang w:val="en-US"/>
        </w:rPr>
      </w:pPr>
      <w:r w:rsidRPr="00282E06">
        <w:rPr>
          <w:rFonts w:eastAsia="Calibri"/>
          <w:lang w:val="en-US"/>
        </w:rPr>
        <w:t xml:space="preserve">In addition to normal cell reselection, a UE may optionally use an autonomous search function to detect CAG cells on serving and non-serving frequencies. </w:t>
      </w:r>
      <w:proofErr w:type="gramStart"/>
      <w:r w:rsidRPr="00D30694">
        <w:rPr>
          <w:rFonts w:eastAsia="Calibri"/>
          <w:b/>
          <w:bCs/>
          <w:lang w:val="en-US"/>
        </w:rPr>
        <w:t>However</w:t>
      </w:r>
      <w:proofErr w:type="gramEnd"/>
      <w:r w:rsidRPr="00D30694">
        <w:rPr>
          <w:rFonts w:eastAsia="Calibri"/>
          <w:b/>
          <w:bCs/>
          <w:lang w:val="en-US"/>
        </w:rPr>
        <w:t xml:space="preserve"> UE shall follow the cell reselection criteria based on dedicated frequency priorities and only follow the autonomous cell search result if the result fulfils also the existing cell reselection criteria based on dedicated frequency priorities</w:t>
      </w:r>
      <w:r w:rsidRPr="00D30694">
        <w:rPr>
          <w:rFonts w:eastAsia="Calibri"/>
          <w:lang w:val="en-US"/>
        </w:rPr>
        <w:t>.</w:t>
      </w:r>
    </w:p>
    <w:p w14:paraId="3C323EBD" w14:textId="77777777" w:rsidR="00282E06" w:rsidRDefault="00282E06" w:rsidP="00282E06">
      <w:pPr>
        <w:spacing w:after="0"/>
      </w:pPr>
    </w:p>
    <w:p w14:paraId="0633F2E2" w14:textId="3EB3415A" w:rsidR="00282E06" w:rsidRPr="00BF467D" w:rsidRDefault="00587C75" w:rsidP="00493FA0">
      <w:pPr>
        <w:rPr>
          <w:rFonts w:ascii="Calibri" w:hAnsi="Calibri" w:cs="Calibri"/>
          <w:sz w:val="22"/>
          <w:szCs w:val="22"/>
        </w:rPr>
      </w:pPr>
      <w:r>
        <w:t>However</w:t>
      </w:r>
      <w:r w:rsidR="00282E06" w:rsidRPr="00282E06">
        <w:t xml:space="preserve">, </w:t>
      </w:r>
      <w:r w:rsidR="008000A0">
        <w:t xml:space="preserve">based on the agreements made at RAN2#123 </w:t>
      </w:r>
      <w:r w:rsidR="00282E06" w:rsidRPr="00282E06">
        <w:t>a UE may prioritize a m</w:t>
      </w:r>
      <w:r w:rsidR="00D24CBB">
        <w:t xml:space="preserve">obile </w:t>
      </w:r>
      <w:r w:rsidR="00282E06" w:rsidRPr="00282E06">
        <w:t>IAB cell for inter-frequency reselection.</w:t>
      </w:r>
      <w:r w:rsidR="00236036">
        <w:t xml:space="preserve"> </w:t>
      </w:r>
      <w:r w:rsidR="00D878CA">
        <w:t xml:space="preserve">Therefore, if a mobile IAB cell is </w:t>
      </w:r>
      <w:r w:rsidR="00545A95">
        <w:t xml:space="preserve">configured as a CAG cell, </w:t>
      </w:r>
      <w:r w:rsidR="001341FE">
        <w:t>it is unclear if the restriction</w:t>
      </w:r>
      <w:r w:rsidR="00C06ED3">
        <w:t xml:space="preserve"> from 38.304 section 5.2.4.10</w:t>
      </w:r>
      <w:r w:rsidR="001341FE">
        <w:t xml:space="preserve"> to follow dedicated priorities should be kept</w:t>
      </w:r>
      <w:r w:rsidR="00AF4DC7">
        <w:t>.</w:t>
      </w:r>
    </w:p>
    <w:p w14:paraId="6815B426" w14:textId="708B32F2" w:rsidR="00C3013D" w:rsidRDefault="00C3013D" w:rsidP="00C3013D">
      <w:r w:rsidRPr="00D24CBB">
        <w:rPr>
          <w:b/>
          <w:bCs/>
        </w:rPr>
        <w:t xml:space="preserve">Observation </w:t>
      </w:r>
      <w:r w:rsidR="00AE1933">
        <w:rPr>
          <w:b/>
          <w:bCs/>
        </w:rPr>
        <w:t>3</w:t>
      </w:r>
      <w:r w:rsidRPr="00E30193">
        <w:t>:</w:t>
      </w:r>
      <w:r>
        <w:t xml:space="preserve"> </w:t>
      </w:r>
      <w:r w:rsidR="002352BF">
        <w:t xml:space="preserve">It is </w:t>
      </w:r>
      <w:r w:rsidR="00314389">
        <w:t>unclear</w:t>
      </w:r>
      <w:r w:rsidR="00446E64">
        <w:t xml:space="preserve"> whether</w:t>
      </w:r>
      <w:r w:rsidR="00A02A32">
        <w:t xml:space="preserve"> a </w:t>
      </w:r>
      <w:r>
        <w:t xml:space="preserve">UE </w:t>
      </w:r>
      <w:r w:rsidR="00B40B25">
        <w:t>ma</w:t>
      </w:r>
      <w:r w:rsidR="00A02A32">
        <w:t xml:space="preserve">y </w:t>
      </w:r>
      <w:r>
        <w:t xml:space="preserve">prioritize a mobile IAB cell for inter-frequency cell reselection </w:t>
      </w:r>
      <w:r w:rsidR="00B40B25">
        <w:t xml:space="preserve">when that </w:t>
      </w:r>
      <w:r w:rsidR="002572B9">
        <w:t xml:space="preserve">same </w:t>
      </w:r>
      <w:r>
        <w:t>mobile IAB cell is configured as a CAG cell.</w:t>
      </w:r>
    </w:p>
    <w:p w14:paraId="0B03B207" w14:textId="54353327" w:rsidR="00F17D8D" w:rsidRDefault="00F17D8D" w:rsidP="00C3013D">
      <w:r>
        <w:t>In our view there are a few different approaches that could be taken:</w:t>
      </w:r>
    </w:p>
    <w:p w14:paraId="3A0BB24B" w14:textId="6D0EC7A9" w:rsidR="00B94D90" w:rsidRDefault="00B94D90" w:rsidP="00B94D90">
      <w:pPr>
        <w:pStyle w:val="ListParagraph"/>
        <w:numPr>
          <w:ilvl w:val="0"/>
          <w:numId w:val="14"/>
        </w:numPr>
        <w:spacing w:after="0"/>
        <w:contextualSpacing w:val="0"/>
      </w:pPr>
      <w:r w:rsidRPr="00B94D90">
        <w:t>O</w:t>
      </w:r>
      <w:r w:rsidR="00BB2567">
        <w:t>pt</w:t>
      </w:r>
      <w:r w:rsidRPr="00B94D90">
        <w:t>1</w:t>
      </w:r>
      <w:r>
        <w:t>: Do nothing about this.</w:t>
      </w:r>
    </w:p>
    <w:p w14:paraId="081E4E53" w14:textId="26919740" w:rsidR="00B94D90" w:rsidRDefault="00B94D90" w:rsidP="00377DF5">
      <w:pPr>
        <w:pStyle w:val="ListParagraph"/>
        <w:numPr>
          <w:ilvl w:val="0"/>
          <w:numId w:val="14"/>
        </w:numPr>
        <w:spacing w:after="0"/>
        <w:contextualSpacing w:val="0"/>
      </w:pPr>
      <w:r w:rsidRPr="00B94D90">
        <w:t>O</w:t>
      </w:r>
      <w:r w:rsidR="00BB2567">
        <w:t>pt</w:t>
      </w:r>
      <w:r w:rsidRPr="00B94D90">
        <w:t>2</w:t>
      </w:r>
      <w:r>
        <w:t xml:space="preserve">: Clarify that </w:t>
      </w:r>
      <w:r w:rsidR="00225B5D">
        <w:t xml:space="preserve">the </w:t>
      </w:r>
      <w:r>
        <w:t xml:space="preserve">UE must continue to follow dedicated frequency priorities when mobile IAB cells are configured as CAG cells. </w:t>
      </w:r>
    </w:p>
    <w:p w14:paraId="29B84781" w14:textId="3B176A56" w:rsidR="00F17D8D" w:rsidRDefault="00B94D90" w:rsidP="00225B5D">
      <w:pPr>
        <w:pStyle w:val="ListParagraph"/>
        <w:numPr>
          <w:ilvl w:val="0"/>
          <w:numId w:val="14"/>
        </w:numPr>
        <w:spacing w:after="0"/>
        <w:contextualSpacing w:val="0"/>
      </w:pPr>
      <w:r w:rsidRPr="00B94D90">
        <w:t>O</w:t>
      </w:r>
      <w:r w:rsidR="00BB2567">
        <w:t>pt</w:t>
      </w:r>
      <w:r w:rsidRPr="00B94D90">
        <w:t>3</w:t>
      </w:r>
      <w:r>
        <w:t xml:space="preserve">: Clarify that </w:t>
      </w:r>
      <w:r w:rsidR="00430C87">
        <w:t>the</w:t>
      </w:r>
      <w:r w:rsidR="00225B5D">
        <w:t xml:space="preserve"> </w:t>
      </w:r>
      <w:r>
        <w:t>UE may ignore dedicated frequency priorities when mobile IAB cells are configured as CAG cells.</w:t>
      </w:r>
    </w:p>
    <w:p w14:paraId="4990F544" w14:textId="7037CA78" w:rsidR="00225B5D" w:rsidRDefault="00225B5D" w:rsidP="00225B5D">
      <w:pPr>
        <w:pStyle w:val="ListParagraph"/>
        <w:spacing w:after="0"/>
        <w:contextualSpacing w:val="0"/>
      </w:pPr>
    </w:p>
    <w:p w14:paraId="7AA6E7A2" w14:textId="086CADB4" w:rsidR="001942F8" w:rsidRDefault="001942F8" w:rsidP="00E9016F">
      <w:pPr>
        <w:rPr>
          <w:bCs/>
        </w:rPr>
      </w:pPr>
      <w:r>
        <w:rPr>
          <w:bCs/>
        </w:rPr>
        <w:t>O</w:t>
      </w:r>
      <w:r w:rsidR="00BB2567">
        <w:rPr>
          <w:bCs/>
        </w:rPr>
        <w:t>pt</w:t>
      </w:r>
      <w:r>
        <w:rPr>
          <w:bCs/>
        </w:rPr>
        <w:t xml:space="preserve">1 </w:t>
      </w:r>
      <w:r w:rsidR="008C4D3F">
        <w:rPr>
          <w:bCs/>
        </w:rPr>
        <w:t>(do nothing) would continue to result in ambiguity</w:t>
      </w:r>
      <w:r w:rsidR="00DC364C">
        <w:rPr>
          <w:bCs/>
        </w:rPr>
        <w:t>.</w:t>
      </w:r>
    </w:p>
    <w:p w14:paraId="45D5B17F" w14:textId="48C1E098" w:rsidR="00503959" w:rsidRDefault="00503959" w:rsidP="00E9016F">
      <w:pPr>
        <w:rPr>
          <w:bCs/>
        </w:rPr>
      </w:pPr>
      <w:r>
        <w:rPr>
          <w:bCs/>
        </w:rPr>
        <w:t>O</w:t>
      </w:r>
      <w:r w:rsidR="00BB2567">
        <w:rPr>
          <w:bCs/>
        </w:rPr>
        <w:t>pt</w:t>
      </w:r>
      <w:r>
        <w:rPr>
          <w:bCs/>
        </w:rPr>
        <w:t xml:space="preserve">2 has no issue in principle, but it </w:t>
      </w:r>
      <w:r w:rsidRPr="00503959">
        <w:rPr>
          <w:bCs/>
        </w:rPr>
        <w:t>might contradict the intended outcome of allowing UEs to prioritize m</w:t>
      </w:r>
      <w:r>
        <w:rPr>
          <w:bCs/>
        </w:rPr>
        <w:t xml:space="preserve">obile </w:t>
      </w:r>
      <w:r w:rsidRPr="00503959">
        <w:rPr>
          <w:bCs/>
        </w:rPr>
        <w:t>IAB cells</w:t>
      </w:r>
      <w:r>
        <w:rPr>
          <w:bCs/>
        </w:rPr>
        <w:t xml:space="preserve"> in the first case</w:t>
      </w:r>
      <w:r w:rsidRPr="00503959">
        <w:rPr>
          <w:bCs/>
        </w:rPr>
        <w:t>, esp</w:t>
      </w:r>
      <w:r>
        <w:rPr>
          <w:bCs/>
        </w:rPr>
        <w:t>ecially</w:t>
      </w:r>
      <w:r w:rsidRPr="00503959">
        <w:rPr>
          <w:bCs/>
        </w:rPr>
        <w:t xml:space="preserve"> in </w:t>
      </w:r>
      <w:r>
        <w:rPr>
          <w:bCs/>
        </w:rPr>
        <w:t>applications</w:t>
      </w:r>
      <w:r w:rsidRPr="00503959">
        <w:rPr>
          <w:bCs/>
        </w:rPr>
        <w:t xml:space="preserve"> where </w:t>
      </w:r>
      <w:r>
        <w:rPr>
          <w:bCs/>
        </w:rPr>
        <w:t xml:space="preserve">a </w:t>
      </w:r>
      <w:r w:rsidRPr="00503959">
        <w:rPr>
          <w:bCs/>
        </w:rPr>
        <w:t>restricted set of UEs are intended to operate on mobile IAB node</w:t>
      </w:r>
      <w:r>
        <w:rPr>
          <w:bCs/>
        </w:rPr>
        <w:t>s</w:t>
      </w:r>
      <w:r w:rsidRPr="00503959">
        <w:rPr>
          <w:bCs/>
        </w:rPr>
        <w:t>, e.g. public safet</w:t>
      </w:r>
      <w:r w:rsidR="00377DF5">
        <w:rPr>
          <w:bCs/>
        </w:rPr>
        <w:t>y/emergency services</w:t>
      </w:r>
      <w:r w:rsidRPr="00503959">
        <w:rPr>
          <w:bCs/>
        </w:rPr>
        <w:t>, etc.</w:t>
      </w:r>
      <w:r w:rsidR="00EE1BFE">
        <w:rPr>
          <w:bCs/>
        </w:rPr>
        <w:t>,</w:t>
      </w:r>
      <w:r w:rsidR="00EE1BFE" w:rsidRPr="00EE1BFE">
        <w:t xml:space="preserve"> </w:t>
      </w:r>
      <w:r w:rsidR="00EE1BFE" w:rsidRPr="00EE1BFE">
        <w:rPr>
          <w:bCs/>
        </w:rPr>
        <w:t xml:space="preserve">especially in cases where the dedicated frequency priority of the </w:t>
      </w:r>
      <w:r w:rsidR="0084252F">
        <w:rPr>
          <w:bCs/>
        </w:rPr>
        <w:t>m</w:t>
      </w:r>
      <w:r w:rsidR="00EE1BFE" w:rsidRPr="00EE1BFE">
        <w:rPr>
          <w:bCs/>
        </w:rPr>
        <w:t>obile IAB CAG cell could be low (e.g. to minimize access from Rel-15 UEs, which are not CAG-capable).</w:t>
      </w:r>
    </w:p>
    <w:p w14:paraId="3F67E8ED" w14:textId="0ACCCB36" w:rsidR="00B313F0" w:rsidRDefault="00377DF5" w:rsidP="00E9016F">
      <w:r>
        <w:rPr>
          <w:bCs/>
        </w:rPr>
        <w:t>O</w:t>
      </w:r>
      <w:r w:rsidR="00BB2567">
        <w:rPr>
          <w:bCs/>
        </w:rPr>
        <w:t>pt</w:t>
      </w:r>
      <w:r>
        <w:rPr>
          <w:bCs/>
        </w:rPr>
        <w:t xml:space="preserve">3 </w:t>
      </w:r>
      <w:r w:rsidR="00205765">
        <w:t xml:space="preserve">seems most </w:t>
      </w:r>
      <w:r w:rsidR="006172B5">
        <w:t>beneficial for the intended use cases</w:t>
      </w:r>
      <w:r>
        <w:t>, but it could result in UEs that prefer m</w:t>
      </w:r>
      <w:r w:rsidR="00525E26">
        <w:t xml:space="preserve">obile </w:t>
      </w:r>
      <w:r>
        <w:t>IAB</w:t>
      </w:r>
      <w:r w:rsidR="00525E26">
        <w:t xml:space="preserve"> and </w:t>
      </w:r>
      <w:r>
        <w:t xml:space="preserve">CAG </w:t>
      </w:r>
      <w:r w:rsidR="00525E26">
        <w:t xml:space="preserve">cells </w:t>
      </w:r>
      <w:r>
        <w:t xml:space="preserve">to constantly look for </w:t>
      </w:r>
      <w:r w:rsidR="00437BA2">
        <w:t>suitable candidate</w:t>
      </w:r>
      <w:r>
        <w:t xml:space="preserve"> cells (which a CAG UE might already do today anyway)</w:t>
      </w:r>
      <w:r w:rsidR="00437BA2">
        <w:t>.</w:t>
      </w:r>
    </w:p>
    <w:p w14:paraId="01AA81E6" w14:textId="7703276A" w:rsidR="00377DF5" w:rsidRDefault="008B1534" w:rsidP="00E9016F">
      <w:r>
        <w:t>Considering now that RAN2 has agreed to support the mobile IAB PCI list in SIB4,</w:t>
      </w:r>
      <w:r w:rsidR="00E44C8C">
        <w:t xml:space="preserve"> </w:t>
      </w:r>
      <w:r w:rsidR="002B6B15">
        <w:t>a UE could use th</w:t>
      </w:r>
      <w:r w:rsidR="00AE1CA5">
        <w:t>at</w:t>
      </w:r>
      <w:r w:rsidR="002B6B15">
        <w:t xml:space="preserve"> information in combination </w:t>
      </w:r>
      <w:r w:rsidR="006D2C64">
        <w:t xml:space="preserve">with </w:t>
      </w:r>
      <w:r w:rsidR="002B6B15">
        <w:t xml:space="preserve">the </w:t>
      </w:r>
      <w:r w:rsidR="00E44C8C">
        <w:t xml:space="preserve">inter-frequency CAG </w:t>
      </w:r>
      <w:r w:rsidR="002B6B15">
        <w:t>PCI list</w:t>
      </w:r>
      <w:r w:rsidR="00E44C8C">
        <w:t xml:space="preserve"> </w:t>
      </w:r>
      <w:r w:rsidR="002B6B15">
        <w:t>that already exists in SIB4 to</w:t>
      </w:r>
      <w:r w:rsidR="006D2C64">
        <w:t xml:space="preserve"> </w:t>
      </w:r>
      <w:r w:rsidR="00633F71">
        <w:t>narrow its search</w:t>
      </w:r>
      <w:r w:rsidR="00005B86">
        <w:t xml:space="preserve"> for candidate (mobile IAB+CAG) cells</w:t>
      </w:r>
      <w:r w:rsidR="001151A6">
        <w:t>.</w:t>
      </w:r>
      <w:r w:rsidR="009C7BCB">
        <w:t xml:space="preserve"> </w:t>
      </w:r>
      <w:r w:rsidR="00AE1933">
        <w:t xml:space="preserve">In our view, this could be a suitable </w:t>
      </w:r>
      <w:r w:rsidR="00187E75">
        <w:t>way</w:t>
      </w:r>
      <w:r w:rsidR="00AE1933">
        <w:t xml:space="preserve"> to support O</w:t>
      </w:r>
      <w:r w:rsidR="00C45371">
        <w:t>pt</w:t>
      </w:r>
      <w:r w:rsidR="003B249D">
        <w:t>3</w:t>
      </w:r>
      <w:r w:rsidR="00AE1933">
        <w:t>.</w:t>
      </w:r>
    </w:p>
    <w:p w14:paraId="5D48A237" w14:textId="3DF24286" w:rsidR="00AE1933" w:rsidRPr="005275DB" w:rsidRDefault="00AE1933" w:rsidP="00E9016F">
      <w:r w:rsidRPr="00605C17">
        <w:rPr>
          <w:b/>
          <w:bCs/>
        </w:rPr>
        <w:t>Observation 4</w:t>
      </w:r>
      <w:r>
        <w:t xml:space="preserve">: </w:t>
      </w:r>
      <w:r w:rsidR="00951664">
        <w:t>C</w:t>
      </w:r>
      <w:r w:rsidR="00730469">
        <w:t>ombin</w:t>
      </w:r>
      <w:r w:rsidR="00951664">
        <w:t>ing</w:t>
      </w:r>
      <w:r w:rsidR="00730469">
        <w:t xml:space="preserve"> </w:t>
      </w:r>
      <w:r w:rsidR="00E40CC4">
        <w:t xml:space="preserve">knowledge of </w:t>
      </w:r>
      <w:r w:rsidR="00730469">
        <w:t>the inter-frequency CAG cell list</w:t>
      </w:r>
      <w:r w:rsidR="00166CC5">
        <w:t xml:space="preserve"> </w:t>
      </w:r>
      <w:r w:rsidR="0087328F">
        <w:t xml:space="preserve">in SIB4 </w:t>
      </w:r>
      <w:r w:rsidR="00166CC5">
        <w:t xml:space="preserve">with </w:t>
      </w:r>
      <w:r w:rsidR="0087328F">
        <w:t xml:space="preserve">the </w:t>
      </w:r>
      <w:r w:rsidR="004F3B5F">
        <w:t xml:space="preserve">SIB4 </w:t>
      </w:r>
      <w:r w:rsidR="00166CC5">
        <w:t xml:space="preserve">mobile IAB </w:t>
      </w:r>
      <w:r w:rsidR="004F3B5F">
        <w:t>PCI list</w:t>
      </w:r>
      <w:r w:rsidR="00166CC5">
        <w:t xml:space="preserve"> </w:t>
      </w:r>
      <w:r w:rsidR="00707748">
        <w:t xml:space="preserve">could make it more efficient for UEs </w:t>
      </w:r>
      <w:r w:rsidR="00166CC5">
        <w:t xml:space="preserve">to </w:t>
      </w:r>
      <w:r w:rsidR="00AE1CA5">
        <w:t>search for</w:t>
      </w:r>
      <w:r w:rsidR="00166CC5">
        <w:t xml:space="preserve"> </w:t>
      </w:r>
      <w:r w:rsidR="0087328F">
        <w:t>mobile IAB+CAG cells to be prioritized.</w:t>
      </w:r>
    </w:p>
    <w:p w14:paraId="175CEE1E" w14:textId="7F537C16" w:rsidR="009339CB" w:rsidRDefault="00D43E87" w:rsidP="009339CB">
      <w:pPr>
        <w:rPr>
          <w:bCs/>
        </w:rPr>
      </w:pPr>
      <w:r w:rsidRPr="00E30193">
        <w:rPr>
          <w:b/>
        </w:rPr>
        <w:t xml:space="preserve">Proposal </w:t>
      </w:r>
      <w:r w:rsidR="00714953">
        <w:rPr>
          <w:b/>
        </w:rPr>
        <w:t>2</w:t>
      </w:r>
      <w:r>
        <w:rPr>
          <w:bCs/>
        </w:rPr>
        <w:t>: RAN2 should discuss whether to allow UEs to ignore dedicated frequency priorities when mobile IAB cells are configured as CAG cells.</w:t>
      </w:r>
    </w:p>
    <w:p w14:paraId="73AE01E1" w14:textId="34316EC5" w:rsidR="001D093D" w:rsidRPr="00D43E87" w:rsidRDefault="001D093D" w:rsidP="009339CB">
      <w:pPr>
        <w:rPr>
          <w:bCs/>
        </w:rPr>
      </w:pPr>
      <w:r w:rsidRPr="001D093D">
        <w:rPr>
          <w:b/>
        </w:rPr>
        <w:t xml:space="preserve">Proposal </w:t>
      </w:r>
      <w:r w:rsidR="00714953">
        <w:rPr>
          <w:b/>
        </w:rPr>
        <w:t>3</w:t>
      </w:r>
      <w:r>
        <w:rPr>
          <w:bCs/>
        </w:rPr>
        <w:t xml:space="preserve">: A UE </w:t>
      </w:r>
      <w:r w:rsidR="00F753DC">
        <w:rPr>
          <w:bCs/>
        </w:rPr>
        <w:t xml:space="preserve">may use </w:t>
      </w:r>
      <w:r>
        <w:rPr>
          <w:bCs/>
        </w:rPr>
        <w:t xml:space="preserve">SIB4 assistance information </w:t>
      </w:r>
      <w:r w:rsidR="00F753DC">
        <w:rPr>
          <w:bCs/>
        </w:rPr>
        <w:t xml:space="preserve">to </w:t>
      </w:r>
      <w:r w:rsidR="0075531E">
        <w:rPr>
          <w:bCs/>
        </w:rPr>
        <w:t xml:space="preserve">help </w:t>
      </w:r>
      <w:r w:rsidR="00AE1CA5">
        <w:rPr>
          <w:bCs/>
        </w:rPr>
        <w:t>search for</w:t>
      </w:r>
      <w:r w:rsidR="00F753DC">
        <w:rPr>
          <w:bCs/>
        </w:rPr>
        <w:t xml:space="preserve"> mobile IAB </w:t>
      </w:r>
      <w:r w:rsidR="00AE1CA5">
        <w:rPr>
          <w:bCs/>
        </w:rPr>
        <w:t xml:space="preserve">cells that are configured as </w:t>
      </w:r>
      <w:r w:rsidR="00F753DC">
        <w:rPr>
          <w:bCs/>
        </w:rPr>
        <w:t xml:space="preserve">CAG cells and </w:t>
      </w:r>
      <w:r w:rsidR="00A52285">
        <w:rPr>
          <w:bCs/>
        </w:rPr>
        <w:t xml:space="preserve">may </w:t>
      </w:r>
      <w:r w:rsidR="00F753DC">
        <w:rPr>
          <w:bCs/>
        </w:rPr>
        <w:t>ignore the dedicated frequency priorities of such cells</w:t>
      </w:r>
      <w:r w:rsidR="009D26B2">
        <w:rPr>
          <w:bCs/>
        </w:rPr>
        <w:t xml:space="preserve"> for cell reselection</w:t>
      </w:r>
      <w:r w:rsidR="006F0951">
        <w:rPr>
          <w:bCs/>
        </w:rPr>
        <w:t xml:space="preserve"> </w:t>
      </w:r>
      <w:r w:rsidR="005F42E5">
        <w:rPr>
          <w:bCs/>
        </w:rPr>
        <w:t>upon verifying</w:t>
      </w:r>
      <w:r w:rsidR="006F0951">
        <w:rPr>
          <w:bCs/>
        </w:rPr>
        <w:t xml:space="preserve"> </w:t>
      </w:r>
      <w:r w:rsidR="00135CDF">
        <w:rPr>
          <w:bCs/>
        </w:rPr>
        <w:t xml:space="preserve">their status as </w:t>
      </w:r>
      <w:proofErr w:type="spellStart"/>
      <w:r w:rsidR="00135CDF">
        <w:rPr>
          <w:bCs/>
        </w:rPr>
        <w:t>mIAB+CAG</w:t>
      </w:r>
      <w:proofErr w:type="spellEnd"/>
      <w:r w:rsidR="00135CDF">
        <w:rPr>
          <w:bCs/>
        </w:rPr>
        <w:t xml:space="preserve"> </w:t>
      </w:r>
      <w:r w:rsidR="005F42E5">
        <w:rPr>
          <w:bCs/>
        </w:rPr>
        <w:t xml:space="preserve">cells </w:t>
      </w:r>
      <w:r w:rsidR="00DF32DF">
        <w:rPr>
          <w:bCs/>
        </w:rPr>
        <w:t>via</w:t>
      </w:r>
      <w:r w:rsidR="006F0951">
        <w:rPr>
          <w:bCs/>
        </w:rPr>
        <w:t xml:space="preserve"> SIB1</w:t>
      </w:r>
      <w:r w:rsidR="00F753DC">
        <w:rPr>
          <w:bCs/>
        </w:rPr>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3FBC9E1B" w14:textId="0CA44AB2" w:rsidR="005F42E5" w:rsidRDefault="005F42E5" w:rsidP="005F42E5">
      <w:r w:rsidRPr="00CC32AD">
        <w:rPr>
          <w:b/>
          <w:bCs/>
        </w:rPr>
        <w:t xml:space="preserve">Observation </w:t>
      </w:r>
      <w:r>
        <w:rPr>
          <w:b/>
          <w:bCs/>
        </w:rPr>
        <w:t>1</w:t>
      </w:r>
      <w:r>
        <w:t xml:space="preserve">: The PCI list can help UEs search for mobile IAB cells, but RAN2 already agreed not to further </w:t>
      </w:r>
      <w:r w:rsidR="00DD4FD0">
        <w:t xml:space="preserve">specify </w:t>
      </w:r>
      <w:r>
        <w:t>how UEs use this information to search for/measure mobile IAB cells.</w:t>
      </w:r>
    </w:p>
    <w:p w14:paraId="420A425B" w14:textId="5DB10D29" w:rsidR="005F42E5" w:rsidRDefault="005F42E5" w:rsidP="005F42E5">
      <w:r w:rsidRPr="00CC32AD">
        <w:rPr>
          <w:b/>
          <w:bCs/>
        </w:rPr>
        <w:t xml:space="preserve">Observation </w:t>
      </w:r>
      <w:r>
        <w:rPr>
          <w:b/>
          <w:bCs/>
        </w:rPr>
        <w:t>2</w:t>
      </w:r>
      <w:r>
        <w:t xml:space="preserve">: It is expected that operators would typically try </w:t>
      </w:r>
      <w:r w:rsidR="00E87C35">
        <w:t>(</w:t>
      </w:r>
      <w:r>
        <w:t>as best as possible</w:t>
      </w:r>
      <w:r w:rsidR="00E87C35">
        <w:t>)</w:t>
      </w:r>
      <w:r>
        <w:t xml:space="preserve"> to configure the SIB4 PCI list to be exclusive and/or complete, but due to the inherent mobility of </w:t>
      </w:r>
      <w:proofErr w:type="spellStart"/>
      <w:r w:rsidR="000C4E96">
        <w:t>mIAB</w:t>
      </w:r>
      <w:proofErr w:type="spellEnd"/>
      <w:r w:rsidR="000C4E96">
        <w:t xml:space="preserve"> </w:t>
      </w:r>
      <w:r>
        <w:t>nodes, it’s not clear if this can be guaranteed.</w:t>
      </w:r>
    </w:p>
    <w:p w14:paraId="282B5E94" w14:textId="77777777" w:rsidR="005F42E5" w:rsidRDefault="005F42E5" w:rsidP="005F42E5">
      <w:r w:rsidRPr="00D24CBB">
        <w:rPr>
          <w:b/>
          <w:bCs/>
        </w:rPr>
        <w:t xml:space="preserve">Observation </w:t>
      </w:r>
      <w:r>
        <w:rPr>
          <w:b/>
          <w:bCs/>
        </w:rPr>
        <w:t>3</w:t>
      </w:r>
      <w:r w:rsidRPr="00E30193">
        <w:t>:</w:t>
      </w:r>
      <w:r>
        <w:t xml:space="preserve"> It is unclear whether a UE may prioritize a mobile IAB cell for inter-frequency cell reselection when that same mobile IAB cell is configured as a CAG cell.</w:t>
      </w:r>
    </w:p>
    <w:p w14:paraId="58B4DD3F" w14:textId="77777777" w:rsidR="005F42E5" w:rsidRPr="005275DB" w:rsidRDefault="005F42E5" w:rsidP="005F42E5">
      <w:r w:rsidRPr="00605C17">
        <w:rPr>
          <w:b/>
          <w:bCs/>
        </w:rPr>
        <w:lastRenderedPageBreak/>
        <w:t>Observation 4</w:t>
      </w:r>
      <w:r>
        <w:t>: Combining knowledge of the inter-frequency CAG cell list in SIB4 with the SIB4 mobile IAB PCI list could make it more efficient for UEs to search for mobile IAB+CAG cells to be prioritized.</w:t>
      </w:r>
    </w:p>
    <w:p w14:paraId="3BE72BE2" w14:textId="77777777" w:rsidR="009339CB" w:rsidRPr="004F4540" w:rsidRDefault="009339CB" w:rsidP="009339CB">
      <w:pPr>
        <w:rPr>
          <w:bCs/>
        </w:rPr>
      </w:pPr>
      <w:r>
        <w:rPr>
          <w:bCs/>
        </w:rPr>
        <w:t>And proposed the following:</w:t>
      </w:r>
    </w:p>
    <w:p w14:paraId="24792DE6" w14:textId="77777777" w:rsidR="005F42E5" w:rsidRPr="000B3776" w:rsidRDefault="005F42E5" w:rsidP="005F42E5">
      <w:r w:rsidRPr="000F5382">
        <w:rPr>
          <w:b/>
          <w:bCs/>
        </w:rPr>
        <w:t>Proposal 1</w:t>
      </w:r>
      <w:r>
        <w:t xml:space="preserve">: RAN2 does not specify additional enhancements related to the PCI list being exclusive and/or complete. How the PCI list is configured is up to network configuration and how UEs use that information for </w:t>
      </w:r>
      <w:proofErr w:type="spellStart"/>
      <w:r>
        <w:t>mIAB</w:t>
      </w:r>
      <w:proofErr w:type="spellEnd"/>
      <w:r>
        <w:t xml:space="preserve"> cell search/measurement is left to UE implementation.</w:t>
      </w:r>
    </w:p>
    <w:p w14:paraId="2E184D44" w14:textId="77777777" w:rsidR="005F42E5" w:rsidRDefault="005F42E5" w:rsidP="005F42E5">
      <w:pPr>
        <w:rPr>
          <w:bCs/>
        </w:rPr>
      </w:pPr>
      <w:r w:rsidRPr="00E30193">
        <w:rPr>
          <w:b/>
        </w:rPr>
        <w:t xml:space="preserve">Proposal </w:t>
      </w:r>
      <w:r>
        <w:rPr>
          <w:b/>
        </w:rPr>
        <w:t>2</w:t>
      </w:r>
      <w:r>
        <w:rPr>
          <w:bCs/>
        </w:rPr>
        <w:t>: RAN2 should discuss whether to allow UEs to ignore dedicated frequency priorities when mobile IAB cells are configured as CAG cells.</w:t>
      </w:r>
    </w:p>
    <w:p w14:paraId="7558FFF1" w14:textId="4A2E53C9" w:rsidR="005F42E5" w:rsidRPr="00D43E87" w:rsidRDefault="005F42E5" w:rsidP="005F42E5">
      <w:pPr>
        <w:rPr>
          <w:bCs/>
        </w:rPr>
      </w:pPr>
      <w:r w:rsidRPr="001D093D">
        <w:rPr>
          <w:b/>
        </w:rPr>
        <w:t xml:space="preserve">Proposal </w:t>
      </w:r>
      <w:r>
        <w:rPr>
          <w:b/>
        </w:rPr>
        <w:t>3</w:t>
      </w:r>
      <w:r>
        <w:rPr>
          <w:bCs/>
        </w:rPr>
        <w:t xml:space="preserve">: A UE may use SIB4 assistance information to help search for mobile IAB cells that are configured as CAG cells and may ignore the dedicated frequency priorities of such cells for cell reselection upon verifying their status as </w:t>
      </w:r>
      <w:proofErr w:type="spellStart"/>
      <w:r>
        <w:rPr>
          <w:bCs/>
        </w:rPr>
        <w:t>mIAB+CAG</w:t>
      </w:r>
      <w:proofErr w:type="spellEnd"/>
      <w:r>
        <w:rPr>
          <w:bCs/>
        </w:rPr>
        <w:t xml:space="preserve"> cells </w:t>
      </w:r>
      <w:r w:rsidR="00DF32DF">
        <w:rPr>
          <w:bCs/>
        </w:rPr>
        <w:t>via</w:t>
      </w:r>
      <w:r>
        <w:rPr>
          <w:bCs/>
        </w:rPr>
        <w:t xml:space="preserve"> SIB1.</w:t>
      </w:r>
    </w:p>
    <w:p w14:paraId="35F222F4" w14:textId="2B8405E2" w:rsidR="00080512" w:rsidRPr="00A209D6" w:rsidRDefault="00080512" w:rsidP="00BC4480"/>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5D80" w14:textId="77777777" w:rsidR="0066175C" w:rsidRDefault="0066175C">
      <w:r>
        <w:separator/>
      </w:r>
    </w:p>
  </w:endnote>
  <w:endnote w:type="continuationSeparator" w:id="0">
    <w:p w14:paraId="59B97345" w14:textId="77777777" w:rsidR="0066175C" w:rsidRDefault="0066175C">
      <w:r>
        <w:continuationSeparator/>
      </w:r>
    </w:p>
  </w:endnote>
  <w:endnote w:type="continuationNotice" w:id="1">
    <w:p w14:paraId="0DEDA911" w14:textId="77777777" w:rsidR="0066175C" w:rsidRDefault="0066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1E93" w14:textId="77777777" w:rsidR="0066175C" w:rsidRDefault="0066175C">
      <w:r>
        <w:separator/>
      </w:r>
    </w:p>
  </w:footnote>
  <w:footnote w:type="continuationSeparator" w:id="0">
    <w:p w14:paraId="28821654" w14:textId="77777777" w:rsidR="0066175C" w:rsidRDefault="0066175C">
      <w:r>
        <w:continuationSeparator/>
      </w:r>
    </w:p>
  </w:footnote>
  <w:footnote w:type="continuationNotice" w:id="1">
    <w:p w14:paraId="79CCE816" w14:textId="77777777" w:rsidR="0066175C" w:rsidRDefault="0066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C2A54"/>
    <w:multiLevelType w:val="hybridMultilevel"/>
    <w:tmpl w:val="43044E3A"/>
    <w:lvl w:ilvl="0" w:tplc="68CE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1647E"/>
    <w:multiLevelType w:val="hybridMultilevel"/>
    <w:tmpl w:val="B2BC6662"/>
    <w:lvl w:ilvl="0" w:tplc="E990FE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0518BA"/>
    <w:multiLevelType w:val="hybridMultilevel"/>
    <w:tmpl w:val="BB52C02E"/>
    <w:lvl w:ilvl="0" w:tplc="E7287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187328"/>
    <w:multiLevelType w:val="hybridMultilevel"/>
    <w:tmpl w:val="BD20E6DC"/>
    <w:lvl w:ilvl="0" w:tplc="016250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A81D10"/>
    <w:multiLevelType w:val="hybridMultilevel"/>
    <w:tmpl w:val="CC3CB2B8"/>
    <w:lvl w:ilvl="0" w:tplc="A6B88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814E4"/>
    <w:multiLevelType w:val="hybridMultilevel"/>
    <w:tmpl w:val="4AEA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224873732">
    <w:abstractNumId w:val="10"/>
  </w:num>
  <w:num w:numId="9" w16cid:durableId="572588581">
    <w:abstractNumId w:val="11"/>
  </w:num>
  <w:num w:numId="10" w16cid:durableId="1457527158">
    <w:abstractNumId w:val="9"/>
  </w:num>
  <w:num w:numId="11" w16cid:durableId="943029844">
    <w:abstractNumId w:val="2"/>
  </w:num>
  <w:num w:numId="12" w16cid:durableId="303049579">
    <w:abstractNumId w:val="12"/>
  </w:num>
  <w:num w:numId="13" w16cid:durableId="28380083">
    <w:abstractNumId w:val="6"/>
  </w:num>
  <w:num w:numId="14" w16cid:durableId="1167748502">
    <w:abstractNumId w:val="3"/>
  </w:num>
  <w:num w:numId="15" w16cid:durableId="1446343521">
    <w:abstractNumId w:val="13"/>
  </w:num>
  <w:num w:numId="16" w16cid:durableId="1330908011">
    <w:abstractNumId w:val="11"/>
  </w:num>
  <w:num w:numId="17" w16cid:durableId="1292323028">
    <w:abstractNumId w:val="11"/>
  </w:num>
  <w:num w:numId="18" w16cid:durableId="21214086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5B86"/>
    <w:rsid w:val="00006C10"/>
    <w:rsid w:val="000126E6"/>
    <w:rsid w:val="00012710"/>
    <w:rsid w:val="0001448C"/>
    <w:rsid w:val="00016557"/>
    <w:rsid w:val="00023C40"/>
    <w:rsid w:val="00027ABD"/>
    <w:rsid w:val="00033397"/>
    <w:rsid w:val="000355B1"/>
    <w:rsid w:val="00037D5F"/>
    <w:rsid w:val="00040095"/>
    <w:rsid w:val="0005237E"/>
    <w:rsid w:val="000614D9"/>
    <w:rsid w:val="00065268"/>
    <w:rsid w:val="0006702D"/>
    <w:rsid w:val="00072DE7"/>
    <w:rsid w:val="00073C9C"/>
    <w:rsid w:val="00076412"/>
    <w:rsid w:val="00080512"/>
    <w:rsid w:val="00090468"/>
    <w:rsid w:val="00090765"/>
    <w:rsid w:val="00090FDB"/>
    <w:rsid w:val="00094380"/>
    <w:rsid w:val="00094568"/>
    <w:rsid w:val="000A0158"/>
    <w:rsid w:val="000B0152"/>
    <w:rsid w:val="000B14D2"/>
    <w:rsid w:val="000B3776"/>
    <w:rsid w:val="000B3A94"/>
    <w:rsid w:val="000B760B"/>
    <w:rsid w:val="000B7BCF"/>
    <w:rsid w:val="000C27CE"/>
    <w:rsid w:val="000C4E96"/>
    <w:rsid w:val="000C522B"/>
    <w:rsid w:val="000D4383"/>
    <w:rsid w:val="000D58AB"/>
    <w:rsid w:val="000F49E0"/>
    <w:rsid w:val="000F5382"/>
    <w:rsid w:val="000F7880"/>
    <w:rsid w:val="001047C5"/>
    <w:rsid w:val="00112F1A"/>
    <w:rsid w:val="001151A6"/>
    <w:rsid w:val="0011598B"/>
    <w:rsid w:val="00123DE2"/>
    <w:rsid w:val="001341FE"/>
    <w:rsid w:val="00135CDF"/>
    <w:rsid w:val="001371AB"/>
    <w:rsid w:val="00145075"/>
    <w:rsid w:val="001479A1"/>
    <w:rsid w:val="00150DF4"/>
    <w:rsid w:val="001623B7"/>
    <w:rsid w:val="001656CA"/>
    <w:rsid w:val="00166CC5"/>
    <w:rsid w:val="00171551"/>
    <w:rsid w:val="001741A0"/>
    <w:rsid w:val="00175FA0"/>
    <w:rsid w:val="001811C1"/>
    <w:rsid w:val="00184276"/>
    <w:rsid w:val="00184E85"/>
    <w:rsid w:val="00186703"/>
    <w:rsid w:val="00187E75"/>
    <w:rsid w:val="001942F8"/>
    <w:rsid w:val="00194CD0"/>
    <w:rsid w:val="001B116B"/>
    <w:rsid w:val="001B29BE"/>
    <w:rsid w:val="001B49C9"/>
    <w:rsid w:val="001C23F4"/>
    <w:rsid w:val="001C4F79"/>
    <w:rsid w:val="001C6F70"/>
    <w:rsid w:val="001D093D"/>
    <w:rsid w:val="001D3B78"/>
    <w:rsid w:val="001E0A26"/>
    <w:rsid w:val="001E447F"/>
    <w:rsid w:val="001E5E64"/>
    <w:rsid w:val="001F168B"/>
    <w:rsid w:val="001F32F4"/>
    <w:rsid w:val="001F7831"/>
    <w:rsid w:val="00204045"/>
    <w:rsid w:val="00205765"/>
    <w:rsid w:val="0020712B"/>
    <w:rsid w:val="00213AE9"/>
    <w:rsid w:val="00225B5D"/>
    <w:rsid w:val="0022606D"/>
    <w:rsid w:val="00231728"/>
    <w:rsid w:val="002352BF"/>
    <w:rsid w:val="00235E1B"/>
    <w:rsid w:val="00236036"/>
    <w:rsid w:val="00243E64"/>
    <w:rsid w:val="00244A05"/>
    <w:rsid w:val="00250404"/>
    <w:rsid w:val="0025285C"/>
    <w:rsid w:val="00256B74"/>
    <w:rsid w:val="002572B9"/>
    <w:rsid w:val="002610D8"/>
    <w:rsid w:val="00264BCE"/>
    <w:rsid w:val="0027058C"/>
    <w:rsid w:val="002747EC"/>
    <w:rsid w:val="00280184"/>
    <w:rsid w:val="002807C4"/>
    <w:rsid w:val="00282E06"/>
    <w:rsid w:val="00284BEC"/>
    <w:rsid w:val="002855BF"/>
    <w:rsid w:val="002862CE"/>
    <w:rsid w:val="002A0EDD"/>
    <w:rsid w:val="002A6D0A"/>
    <w:rsid w:val="002B2988"/>
    <w:rsid w:val="002B4EAD"/>
    <w:rsid w:val="002B6B15"/>
    <w:rsid w:val="002B7591"/>
    <w:rsid w:val="002C4EF1"/>
    <w:rsid w:val="002D1FEB"/>
    <w:rsid w:val="002F0B55"/>
    <w:rsid w:val="002F0D22"/>
    <w:rsid w:val="002F235B"/>
    <w:rsid w:val="002F4A32"/>
    <w:rsid w:val="002F7E58"/>
    <w:rsid w:val="00311B17"/>
    <w:rsid w:val="00314389"/>
    <w:rsid w:val="00315ABA"/>
    <w:rsid w:val="003172DC"/>
    <w:rsid w:val="003256B1"/>
    <w:rsid w:val="00325AE3"/>
    <w:rsid w:val="00326069"/>
    <w:rsid w:val="00337665"/>
    <w:rsid w:val="00345B4F"/>
    <w:rsid w:val="00354573"/>
    <w:rsid w:val="0035462D"/>
    <w:rsid w:val="00362A9F"/>
    <w:rsid w:val="0036459E"/>
    <w:rsid w:val="00364B41"/>
    <w:rsid w:val="00370630"/>
    <w:rsid w:val="0037309D"/>
    <w:rsid w:val="00375A85"/>
    <w:rsid w:val="003771B1"/>
    <w:rsid w:val="00377DF5"/>
    <w:rsid w:val="00383096"/>
    <w:rsid w:val="003856D6"/>
    <w:rsid w:val="00390D93"/>
    <w:rsid w:val="0039346C"/>
    <w:rsid w:val="003A0A88"/>
    <w:rsid w:val="003A11C0"/>
    <w:rsid w:val="003A231B"/>
    <w:rsid w:val="003A23C1"/>
    <w:rsid w:val="003A41EF"/>
    <w:rsid w:val="003B249D"/>
    <w:rsid w:val="003B40AD"/>
    <w:rsid w:val="003C4922"/>
    <w:rsid w:val="003C4E37"/>
    <w:rsid w:val="003C5AAC"/>
    <w:rsid w:val="003D0FD0"/>
    <w:rsid w:val="003D17D0"/>
    <w:rsid w:val="003D1EF7"/>
    <w:rsid w:val="003E16BE"/>
    <w:rsid w:val="003E3079"/>
    <w:rsid w:val="003E58B0"/>
    <w:rsid w:val="003E6E9F"/>
    <w:rsid w:val="003F0756"/>
    <w:rsid w:val="003F4E28"/>
    <w:rsid w:val="003F76F4"/>
    <w:rsid w:val="004006E8"/>
    <w:rsid w:val="00401855"/>
    <w:rsid w:val="004146BA"/>
    <w:rsid w:val="00421E15"/>
    <w:rsid w:val="00430C87"/>
    <w:rsid w:val="00437BA2"/>
    <w:rsid w:val="00446C3A"/>
    <w:rsid w:val="00446E64"/>
    <w:rsid w:val="00447FD3"/>
    <w:rsid w:val="00456BF0"/>
    <w:rsid w:val="004632C6"/>
    <w:rsid w:val="00465587"/>
    <w:rsid w:val="0046637E"/>
    <w:rsid w:val="004667B0"/>
    <w:rsid w:val="00467804"/>
    <w:rsid w:val="004731BF"/>
    <w:rsid w:val="00473FE3"/>
    <w:rsid w:val="00477455"/>
    <w:rsid w:val="00482134"/>
    <w:rsid w:val="0048568C"/>
    <w:rsid w:val="00493FA0"/>
    <w:rsid w:val="0049767F"/>
    <w:rsid w:val="004A1F7B"/>
    <w:rsid w:val="004C3202"/>
    <w:rsid w:val="004C44D2"/>
    <w:rsid w:val="004D062E"/>
    <w:rsid w:val="004D3578"/>
    <w:rsid w:val="004D380D"/>
    <w:rsid w:val="004E213A"/>
    <w:rsid w:val="004E3716"/>
    <w:rsid w:val="004E5002"/>
    <w:rsid w:val="004F0B1F"/>
    <w:rsid w:val="004F3271"/>
    <w:rsid w:val="004F3B5F"/>
    <w:rsid w:val="004F4540"/>
    <w:rsid w:val="004F73A7"/>
    <w:rsid w:val="004F750C"/>
    <w:rsid w:val="00503171"/>
    <w:rsid w:val="005033B5"/>
    <w:rsid w:val="00503959"/>
    <w:rsid w:val="00506C28"/>
    <w:rsid w:val="005251C2"/>
    <w:rsid w:val="00525E26"/>
    <w:rsid w:val="005275DB"/>
    <w:rsid w:val="00534DA0"/>
    <w:rsid w:val="00543392"/>
    <w:rsid w:val="00543E6C"/>
    <w:rsid w:val="00544781"/>
    <w:rsid w:val="00545A95"/>
    <w:rsid w:val="00546DD4"/>
    <w:rsid w:val="00552DEE"/>
    <w:rsid w:val="0055619F"/>
    <w:rsid w:val="00562F89"/>
    <w:rsid w:val="00565087"/>
    <w:rsid w:val="0056573F"/>
    <w:rsid w:val="00571279"/>
    <w:rsid w:val="00574CA7"/>
    <w:rsid w:val="00581A1A"/>
    <w:rsid w:val="00587C75"/>
    <w:rsid w:val="0059106B"/>
    <w:rsid w:val="00595DAE"/>
    <w:rsid w:val="005A13AB"/>
    <w:rsid w:val="005A49C6"/>
    <w:rsid w:val="005C766E"/>
    <w:rsid w:val="005C7CD5"/>
    <w:rsid w:val="005E1A1C"/>
    <w:rsid w:val="005E34F2"/>
    <w:rsid w:val="005F42E5"/>
    <w:rsid w:val="00605C17"/>
    <w:rsid w:val="006075CA"/>
    <w:rsid w:val="00611566"/>
    <w:rsid w:val="00611E55"/>
    <w:rsid w:val="00614050"/>
    <w:rsid w:val="006172B5"/>
    <w:rsid w:val="00620261"/>
    <w:rsid w:val="006262AC"/>
    <w:rsid w:val="00633F71"/>
    <w:rsid w:val="00636469"/>
    <w:rsid w:val="00646D99"/>
    <w:rsid w:val="00652FDA"/>
    <w:rsid w:val="00656910"/>
    <w:rsid w:val="006574C0"/>
    <w:rsid w:val="0066175C"/>
    <w:rsid w:val="00663CBD"/>
    <w:rsid w:val="00667FA9"/>
    <w:rsid w:val="00670978"/>
    <w:rsid w:val="00677D0D"/>
    <w:rsid w:val="006865D3"/>
    <w:rsid w:val="00695685"/>
    <w:rsid w:val="00696821"/>
    <w:rsid w:val="006B08AD"/>
    <w:rsid w:val="006B2B54"/>
    <w:rsid w:val="006B3C88"/>
    <w:rsid w:val="006B57F5"/>
    <w:rsid w:val="006C66D8"/>
    <w:rsid w:val="006D1E24"/>
    <w:rsid w:val="006D2C64"/>
    <w:rsid w:val="006D35DE"/>
    <w:rsid w:val="006E1057"/>
    <w:rsid w:val="006E1417"/>
    <w:rsid w:val="006E50FF"/>
    <w:rsid w:val="006F0365"/>
    <w:rsid w:val="006F0951"/>
    <w:rsid w:val="006F6A2C"/>
    <w:rsid w:val="00700478"/>
    <w:rsid w:val="007069DC"/>
    <w:rsid w:val="00707748"/>
    <w:rsid w:val="00710201"/>
    <w:rsid w:val="00714953"/>
    <w:rsid w:val="0072073A"/>
    <w:rsid w:val="00730469"/>
    <w:rsid w:val="007342B5"/>
    <w:rsid w:val="00734A5B"/>
    <w:rsid w:val="00740148"/>
    <w:rsid w:val="00744E76"/>
    <w:rsid w:val="0075531E"/>
    <w:rsid w:val="00757D40"/>
    <w:rsid w:val="007600B2"/>
    <w:rsid w:val="00761476"/>
    <w:rsid w:val="007662B5"/>
    <w:rsid w:val="00781F0F"/>
    <w:rsid w:val="007847AC"/>
    <w:rsid w:val="007855CA"/>
    <w:rsid w:val="0078727C"/>
    <w:rsid w:val="0079049D"/>
    <w:rsid w:val="007926DA"/>
    <w:rsid w:val="0079331E"/>
    <w:rsid w:val="00793DC5"/>
    <w:rsid w:val="00794B4A"/>
    <w:rsid w:val="00796823"/>
    <w:rsid w:val="007A2E55"/>
    <w:rsid w:val="007A60D4"/>
    <w:rsid w:val="007B18D8"/>
    <w:rsid w:val="007C095F"/>
    <w:rsid w:val="007C2DD0"/>
    <w:rsid w:val="007C377E"/>
    <w:rsid w:val="007E0FF3"/>
    <w:rsid w:val="007E1282"/>
    <w:rsid w:val="007F2E08"/>
    <w:rsid w:val="007F615D"/>
    <w:rsid w:val="008000A0"/>
    <w:rsid w:val="00801AE2"/>
    <w:rsid w:val="008024FA"/>
    <w:rsid w:val="008028A4"/>
    <w:rsid w:val="008052B4"/>
    <w:rsid w:val="008109AB"/>
    <w:rsid w:val="00813245"/>
    <w:rsid w:val="00840DE0"/>
    <w:rsid w:val="0084252F"/>
    <w:rsid w:val="00847CD0"/>
    <w:rsid w:val="00854D4F"/>
    <w:rsid w:val="00856C81"/>
    <w:rsid w:val="008607A8"/>
    <w:rsid w:val="0086354A"/>
    <w:rsid w:val="00867F2A"/>
    <w:rsid w:val="0087328F"/>
    <w:rsid w:val="008768CA"/>
    <w:rsid w:val="00877EF9"/>
    <w:rsid w:val="00880559"/>
    <w:rsid w:val="008863F5"/>
    <w:rsid w:val="008A75D5"/>
    <w:rsid w:val="008B1534"/>
    <w:rsid w:val="008B5306"/>
    <w:rsid w:val="008B54E8"/>
    <w:rsid w:val="008C2E2A"/>
    <w:rsid w:val="008C3057"/>
    <w:rsid w:val="008C4D3F"/>
    <w:rsid w:val="008D2E4D"/>
    <w:rsid w:val="008D36EF"/>
    <w:rsid w:val="008E2B3B"/>
    <w:rsid w:val="008E6BC6"/>
    <w:rsid w:val="008E7078"/>
    <w:rsid w:val="008F32B7"/>
    <w:rsid w:val="008F396F"/>
    <w:rsid w:val="008F3DCD"/>
    <w:rsid w:val="008F4DAB"/>
    <w:rsid w:val="0090271F"/>
    <w:rsid w:val="00902DB9"/>
    <w:rsid w:val="0090466A"/>
    <w:rsid w:val="00905E5A"/>
    <w:rsid w:val="009138FD"/>
    <w:rsid w:val="009206D1"/>
    <w:rsid w:val="00923655"/>
    <w:rsid w:val="009339CB"/>
    <w:rsid w:val="00935693"/>
    <w:rsid w:val="00936071"/>
    <w:rsid w:val="009376CD"/>
    <w:rsid w:val="00940212"/>
    <w:rsid w:val="00942EC2"/>
    <w:rsid w:val="00951664"/>
    <w:rsid w:val="00961B32"/>
    <w:rsid w:val="00962509"/>
    <w:rsid w:val="00970DB3"/>
    <w:rsid w:val="0097381E"/>
    <w:rsid w:val="00974BB0"/>
    <w:rsid w:val="00975744"/>
    <w:rsid w:val="00975BCD"/>
    <w:rsid w:val="009766BB"/>
    <w:rsid w:val="00976A24"/>
    <w:rsid w:val="00976CA3"/>
    <w:rsid w:val="00981760"/>
    <w:rsid w:val="009818A2"/>
    <w:rsid w:val="0098627A"/>
    <w:rsid w:val="009928A9"/>
    <w:rsid w:val="00993463"/>
    <w:rsid w:val="009A0AF3"/>
    <w:rsid w:val="009B07CD"/>
    <w:rsid w:val="009B2699"/>
    <w:rsid w:val="009C0063"/>
    <w:rsid w:val="009C19E9"/>
    <w:rsid w:val="009C2133"/>
    <w:rsid w:val="009C7BCB"/>
    <w:rsid w:val="009D26B2"/>
    <w:rsid w:val="009D74A6"/>
    <w:rsid w:val="009E0E87"/>
    <w:rsid w:val="00A02506"/>
    <w:rsid w:val="00A02A32"/>
    <w:rsid w:val="00A10F02"/>
    <w:rsid w:val="00A14B71"/>
    <w:rsid w:val="00A15999"/>
    <w:rsid w:val="00A17176"/>
    <w:rsid w:val="00A204CA"/>
    <w:rsid w:val="00A209D6"/>
    <w:rsid w:val="00A22738"/>
    <w:rsid w:val="00A36F5F"/>
    <w:rsid w:val="00A430EC"/>
    <w:rsid w:val="00A4746C"/>
    <w:rsid w:val="00A52285"/>
    <w:rsid w:val="00A53724"/>
    <w:rsid w:val="00A54B2B"/>
    <w:rsid w:val="00A57A97"/>
    <w:rsid w:val="00A62306"/>
    <w:rsid w:val="00A672D0"/>
    <w:rsid w:val="00A678F6"/>
    <w:rsid w:val="00A703B6"/>
    <w:rsid w:val="00A7309E"/>
    <w:rsid w:val="00A812C8"/>
    <w:rsid w:val="00A82346"/>
    <w:rsid w:val="00A849D4"/>
    <w:rsid w:val="00A964E4"/>
    <w:rsid w:val="00A9671C"/>
    <w:rsid w:val="00A96FC0"/>
    <w:rsid w:val="00AA1553"/>
    <w:rsid w:val="00AB31BB"/>
    <w:rsid w:val="00AB3332"/>
    <w:rsid w:val="00AC2DB8"/>
    <w:rsid w:val="00AE1587"/>
    <w:rsid w:val="00AE1933"/>
    <w:rsid w:val="00AE1CA5"/>
    <w:rsid w:val="00AE6C39"/>
    <w:rsid w:val="00AF4DC7"/>
    <w:rsid w:val="00AF59AC"/>
    <w:rsid w:val="00AF79AC"/>
    <w:rsid w:val="00B05380"/>
    <w:rsid w:val="00B05962"/>
    <w:rsid w:val="00B11027"/>
    <w:rsid w:val="00B112E4"/>
    <w:rsid w:val="00B15449"/>
    <w:rsid w:val="00B16C2F"/>
    <w:rsid w:val="00B26848"/>
    <w:rsid w:val="00B27303"/>
    <w:rsid w:val="00B30A76"/>
    <w:rsid w:val="00B313F0"/>
    <w:rsid w:val="00B40B25"/>
    <w:rsid w:val="00B4349D"/>
    <w:rsid w:val="00B47FD1"/>
    <w:rsid w:val="00B516BB"/>
    <w:rsid w:val="00B5724C"/>
    <w:rsid w:val="00B64F93"/>
    <w:rsid w:val="00B67416"/>
    <w:rsid w:val="00B67755"/>
    <w:rsid w:val="00B7538C"/>
    <w:rsid w:val="00B75B06"/>
    <w:rsid w:val="00B77E80"/>
    <w:rsid w:val="00B84B3A"/>
    <w:rsid w:val="00B84DB2"/>
    <w:rsid w:val="00B94D90"/>
    <w:rsid w:val="00B95A1D"/>
    <w:rsid w:val="00B95CB8"/>
    <w:rsid w:val="00B97871"/>
    <w:rsid w:val="00BA500C"/>
    <w:rsid w:val="00BB2567"/>
    <w:rsid w:val="00BC2F6E"/>
    <w:rsid w:val="00BC3555"/>
    <w:rsid w:val="00BC4480"/>
    <w:rsid w:val="00BC4BFF"/>
    <w:rsid w:val="00BC568B"/>
    <w:rsid w:val="00BC5FD1"/>
    <w:rsid w:val="00BD368E"/>
    <w:rsid w:val="00BD5A32"/>
    <w:rsid w:val="00BD7FB8"/>
    <w:rsid w:val="00BE5547"/>
    <w:rsid w:val="00BF35F8"/>
    <w:rsid w:val="00BF467D"/>
    <w:rsid w:val="00BF5E44"/>
    <w:rsid w:val="00C012D5"/>
    <w:rsid w:val="00C02E13"/>
    <w:rsid w:val="00C038C8"/>
    <w:rsid w:val="00C06ED3"/>
    <w:rsid w:val="00C110A2"/>
    <w:rsid w:val="00C12B51"/>
    <w:rsid w:val="00C1550D"/>
    <w:rsid w:val="00C209EC"/>
    <w:rsid w:val="00C24650"/>
    <w:rsid w:val="00C25465"/>
    <w:rsid w:val="00C3013D"/>
    <w:rsid w:val="00C33079"/>
    <w:rsid w:val="00C416CE"/>
    <w:rsid w:val="00C4515D"/>
    <w:rsid w:val="00C45371"/>
    <w:rsid w:val="00C45749"/>
    <w:rsid w:val="00C4580F"/>
    <w:rsid w:val="00C461E6"/>
    <w:rsid w:val="00C46229"/>
    <w:rsid w:val="00C55A12"/>
    <w:rsid w:val="00C651FE"/>
    <w:rsid w:val="00C6553E"/>
    <w:rsid w:val="00C65CFA"/>
    <w:rsid w:val="00C83A13"/>
    <w:rsid w:val="00C85BDD"/>
    <w:rsid w:val="00C863EE"/>
    <w:rsid w:val="00C86F10"/>
    <w:rsid w:val="00C9068C"/>
    <w:rsid w:val="00C92967"/>
    <w:rsid w:val="00CA0B7A"/>
    <w:rsid w:val="00CA0D04"/>
    <w:rsid w:val="00CA194B"/>
    <w:rsid w:val="00CA3D0C"/>
    <w:rsid w:val="00CA654B"/>
    <w:rsid w:val="00CB2549"/>
    <w:rsid w:val="00CB29A6"/>
    <w:rsid w:val="00CB72B8"/>
    <w:rsid w:val="00CB760A"/>
    <w:rsid w:val="00CC32AD"/>
    <w:rsid w:val="00CC7433"/>
    <w:rsid w:val="00CD0BA8"/>
    <w:rsid w:val="00CD2398"/>
    <w:rsid w:val="00CD4C7B"/>
    <w:rsid w:val="00CD58FE"/>
    <w:rsid w:val="00CD749C"/>
    <w:rsid w:val="00CE1902"/>
    <w:rsid w:val="00CE2F7C"/>
    <w:rsid w:val="00CE48EF"/>
    <w:rsid w:val="00CE5FD5"/>
    <w:rsid w:val="00CE67CC"/>
    <w:rsid w:val="00CF5242"/>
    <w:rsid w:val="00D071B5"/>
    <w:rsid w:val="00D1044E"/>
    <w:rsid w:val="00D24CBB"/>
    <w:rsid w:val="00D30694"/>
    <w:rsid w:val="00D33BE3"/>
    <w:rsid w:val="00D35394"/>
    <w:rsid w:val="00D3792D"/>
    <w:rsid w:val="00D43E87"/>
    <w:rsid w:val="00D45148"/>
    <w:rsid w:val="00D51633"/>
    <w:rsid w:val="00D54820"/>
    <w:rsid w:val="00D55E47"/>
    <w:rsid w:val="00D62955"/>
    <w:rsid w:val="00D62E19"/>
    <w:rsid w:val="00D66DEC"/>
    <w:rsid w:val="00D67CD1"/>
    <w:rsid w:val="00D738D6"/>
    <w:rsid w:val="00D773F4"/>
    <w:rsid w:val="00D80795"/>
    <w:rsid w:val="00D83B79"/>
    <w:rsid w:val="00D83C7B"/>
    <w:rsid w:val="00D854BE"/>
    <w:rsid w:val="00D878CA"/>
    <w:rsid w:val="00D87E00"/>
    <w:rsid w:val="00D90106"/>
    <w:rsid w:val="00D9134D"/>
    <w:rsid w:val="00D947A4"/>
    <w:rsid w:val="00D96D11"/>
    <w:rsid w:val="00DA06BF"/>
    <w:rsid w:val="00DA63D9"/>
    <w:rsid w:val="00DA70CF"/>
    <w:rsid w:val="00DA7A03"/>
    <w:rsid w:val="00DB051A"/>
    <w:rsid w:val="00DB0DB8"/>
    <w:rsid w:val="00DB1818"/>
    <w:rsid w:val="00DB2083"/>
    <w:rsid w:val="00DB639D"/>
    <w:rsid w:val="00DB65E4"/>
    <w:rsid w:val="00DC309B"/>
    <w:rsid w:val="00DC337E"/>
    <w:rsid w:val="00DC364C"/>
    <w:rsid w:val="00DC4DA2"/>
    <w:rsid w:val="00DC5261"/>
    <w:rsid w:val="00DD4FD0"/>
    <w:rsid w:val="00DD5B2F"/>
    <w:rsid w:val="00DE25D2"/>
    <w:rsid w:val="00DE294E"/>
    <w:rsid w:val="00DE2EC9"/>
    <w:rsid w:val="00DE7A3C"/>
    <w:rsid w:val="00DF32DF"/>
    <w:rsid w:val="00DF7C20"/>
    <w:rsid w:val="00DF7F6B"/>
    <w:rsid w:val="00E038FB"/>
    <w:rsid w:val="00E1706B"/>
    <w:rsid w:val="00E17261"/>
    <w:rsid w:val="00E21E46"/>
    <w:rsid w:val="00E24F98"/>
    <w:rsid w:val="00E30193"/>
    <w:rsid w:val="00E4003F"/>
    <w:rsid w:val="00E40CC4"/>
    <w:rsid w:val="00E44C8C"/>
    <w:rsid w:val="00E46C08"/>
    <w:rsid w:val="00E46EBB"/>
    <w:rsid w:val="00E471CF"/>
    <w:rsid w:val="00E62810"/>
    <w:rsid w:val="00E62835"/>
    <w:rsid w:val="00E6480E"/>
    <w:rsid w:val="00E67AE7"/>
    <w:rsid w:val="00E77645"/>
    <w:rsid w:val="00E83697"/>
    <w:rsid w:val="00E85866"/>
    <w:rsid w:val="00E859B6"/>
    <w:rsid w:val="00E87C35"/>
    <w:rsid w:val="00E9016F"/>
    <w:rsid w:val="00E95DCE"/>
    <w:rsid w:val="00EA66C9"/>
    <w:rsid w:val="00EB0D8A"/>
    <w:rsid w:val="00EB221B"/>
    <w:rsid w:val="00EB5D32"/>
    <w:rsid w:val="00EB6F53"/>
    <w:rsid w:val="00EC0A92"/>
    <w:rsid w:val="00EC4A25"/>
    <w:rsid w:val="00EE1BFE"/>
    <w:rsid w:val="00EE718E"/>
    <w:rsid w:val="00EF612C"/>
    <w:rsid w:val="00F00739"/>
    <w:rsid w:val="00F025A2"/>
    <w:rsid w:val="00F036E9"/>
    <w:rsid w:val="00F07388"/>
    <w:rsid w:val="00F17D8D"/>
    <w:rsid w:val="00F2026E"/>
    <w:rsid w:val="00F2210A"/>
    <w:rsid w:val="00F31372"/>
    <w:rsid w:val="00F34748"/>
    <w:rsid w:val="00F37743"/>
    <w:rsid w:val="00F44B9A"/>
    <w:rsid w:val="00F54A3D"/>
    <w:rsid w:val="00F54CB0"/>
    <w:rsid w:val="00F579CD"/>
    <w:rsid w:val="00F653B8"/>
    <w:rsid w:val="00F70BFA"/>
    <w:rsid w:val="00F71B89"/>
    <w:rsid w:val="00F728E5"/>
    <w:rsid w:val="00F72BBE"/>
    <w:rsid w:val="00F7353C"/>
    <w:rsid w:val="00F753DC"/>
    <w:rsid w:val="00F769A0"/>
    <w:rsid w:val="00F76F8F"/>
    <w:rsid w:val="00F87257"/>
    <w:rsid w:val="00F910A7"/>
    <w:rsid w:val="00F941DF"/>
    <w:rsid w:val="00F962EF"/>
    <w:rsid w:val="00F9714F"/>
    <w:rsid w:val="00FA1266"/>
    <w:rsid w:val="00FA5A59"/>
    <w:rsid w:val="00FB36FA"/>
    <w:rsid w:val="00FC0460"/>
    <w:rsid w:val="00FC1192"/>
    <w:rsid w:val="00FD00A8"/>
    <w:rsid w:val="00FE106D"/>
    <w:rsid w:val="00FE1894"/>
    <w:rsid w:val="00FE251B"/>
    <w:rsid w:val="00FE2F27"/>
    <w:rsid w:val="00FE7C48"/>
    <w:rsid w:val="00FF4C28"/>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 w:type="paragraph" w:customStyle="1" w:styleId="Agreement">
    <w:name w:val="Agreement"/>
    <w:basedOn w:val="Normal"/>
    <w:next w:val="Normal"/>
    <w:uiPriority w:val="99"/>
    <w:qFormat/>
    <w:rsid w:val="00390D93"/>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4510232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3bis/Docs/R2-230947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2/LSout/R2-230689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5AIRPNAIUNRU-859666464-15269</_dlc_DocId>
    <_dlc_DocIdUrl xmlns="71c5aaf6-e6ce-465b-b873-5148d2a4c105">
      <Url>https://nokia.sharepoint.com/sites/c5g/e2earch/_layouts/15/DocIdRedir.aspx?ID=5AIRPNAIUNRU-859666464-15269</Url>
      <Description>5AIRPNAIUNRU-859666464-15269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806A93D-5186-41A6-ABBA-9A577CD61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4</Pages>
  <Words>1841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491</cp:revision>
  <dcterms:created xsi:type="dcterms:W3CDTF">2016-08-12T13:53:00Z</dcterms:created>
  <dcterms:modified xsi:type="dcterms:W3CDTF">2023-11-03T01:42:00Z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b1dd4f94-fd50-47a2-9d32-35a489a09dd3</vt:lpwstr>
  </property>
  <property fmtid="{D5CDD505-2E9C-101B-9397-08002B2CF9AE}" pid="4" name="MediaServiceImageTags">
    <vt:lpwstr/>
  </property>
</Properties>
</file>